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left" w:pos="6948"/>
        </w:tabs>
        <w:jc w:val="center"/>
        <w:rPr>
          <w:rFonts w:hAnsi="宋体"/>
          <w:b/>
          <w:bCs/>
          <w:sz w:val="52"/>
        </w:rPr>
      </w:pPr>
      <w:r>
        <w:rPr>
          <w:rFonts w:hint="eastAsia" w:hAnsi="宋体"/>
          <w:b/>
          <w:bCs/>
          <w:sz w:val="52"/>
        </w:rPr>
        <w:t>甘肃中强会计师事务有限公司</w:t>
      </w:r>
    </w:p>
    <w:p>
      <w:pPr>
        <w:pStyle w:val="12"/>
        <w:jc w:val="center"/>
        <w:rPr>
          <w:rFonts w:hAnsi="宋体"/>
        </w:rPr>
      </w:pPr>
      <w:r>
        <w:rPr>
          <w:rFonts w:hint="eastAsia" w:hAnsi="宋体"/>
        </w:rPr>
        <w:t>GANSU  ZHONGQIANG  CERTIFIED  PUBLIC  ACCOUNTANT CO．LTD</w:t>
      </w:r>
    </w:p>
    <w:p>
      <w:pPr>
        <w:pStyle w:val="12"/>
        <w:jc w:val="center"/>
        <w:rPr>
          <w:rFonts w:hAnsi="宋体"/>
        </w:rPr>
      </w:pPr>
      <w:r>
        <w:rPr>
          <w:rFonts w:hint="eastAsia" w:hAnsi="宋体"/>
        </w:rPr>
        <w:t>甘中</w:t>
      </w:r>
      <w:r>
        <w:rPr>
          <w:rFonts w:hint="eastAsia" w:hAnsi="宋体"/>
          <w:color w:val="000000"/>
        </w:rPr>
        <w:t>会审字（20</w:t>
      </w:r>
      <w:r>
        <w:rPr>
          <w:rFonts w:hint="eastAsia" w:hAnsi="宋体"/>
          <w:color w:val="000000"/>
          <w:lang w:val="en-US" w:eastAsia="zh-CN"/>
        </w:rPr>
        <w:t>20</w:t>
      </w:r>
      <w:r>
        <w:rPr>
          <w:rFonts w:hint="eastAsia" w:hAnsi="宋体"/>
          <w:color w:val="000000"/>
        </w:rPr>
        <w:t>）第</w:t>
      </w:r>
      <w:r>
        <w:rPr>
          <w:rFonts w:hint="eastAsia"/>
          <w:color w:val="0000FF"/>
          <w:lang w:val="en-US" w:eastAsia="zh-CN"/>
        </w:rPr>
        <w:t>187</w:t>
      </w:r>
      <w:r>
        <w:rPr>
          <w:rFonts w:hint="eastAsia" w:hAnsi="宋体"/>
          <w:color w:val="000000"/>
        </w:rPr>
        <w:t>号</w:t>
      </w:r>
    </w:p>
    <w:p>
      <w:pPr>
        <w:pStyle w:val="12"/>
        <w:rPr>
          <w:rFonts w:hAnsi="宋体"/>
        </w:rPr>
      </w:pPr>
      <w:r>
        <w:rPr>
          <w:rFonts w:hint="eastAsia" w:hAnsi="宋体"/>
        </w:rPr>
        <w:t>━━━━━━━━━━━━━━━━━━━━━━━━━━━━━━━━━━━━━━━━━</w:t>
      </w:r>
    </w:p>
    <w:p>
      <w:pPr>
        <w:pStyle w:val="12"/>
        <w:tabs>
          <w:tab w:val="left" w:pos="1440"/>
        </w:tabs>
        <w:ind w:left="-359" w:leftChars="-171"/>
        <w:jc w:val="center"/>
        <w:rPr>
          <w:rFonts w:hAnsi="宋体"/>
          <w:b/>
          <w:bCs/>
          <w:sz w:val="28"/>
          <w:szCs w:val="28"/>
        </w:rPr>
      </w:pPr>
    </w:p>
    <w:p>
      <w:pPr>
        <w:jc w:val="center"/>
        <w:rPr>
          <w:rFonts w:ascii="宋体" w:hAnsi="宋体"/>
          <w:b/>
          <w:bCs/>
          <w:sz w:val="44"/>
          <w:szCs w:val="44"/>
        </w:rPr>
      </w:pPr>
      <w:r>
        <w:rPr>
          <w:rFonts w:hint="eastAsia" w:ascii="宋体" w:hAnsi="宋体"/>
          <w:b/>
          <w:sz w:val="44"/>
          <w:szCs w:val="44"/>
          <w:lang w:eastAsia="zh-CN"/>
        </w:rPr>
        <w:t>2019</w:t>
      </w:r>
      <w:r>
        <w:rPr>
          <w:rFonts w:hint="eastAsia" w:ascii="宋体" w:hAnsi="宋体"/>
          <w:b/>
          <w:sz w:val="44"/>
          <w:szCs w:val="44"/>
        </w:rPr>
        <w:t>年度甘肃省</w:t>
      </w:r>
      <w:r>
        <w:rPr>
          <w:rFonts w:hint="eastAsia" w:ascii="宋体" w:hAnsi="宋体"/>
          <w:b/>
          <w:bCs/>
          <w:sz w:val="44"/>
          <w:szCs w:val="44"/>
        </w:rPr>
        <w:t>省级财政支出项目</w:t>
      </w:r>
    </w:p>
    <w:p>
      <w:pPr>
        <w:jc w:val="center"/>
        <w:rPr>
          <w:rFonts w:hint="eastAsia" w:ascii="宋体" w:hAnsi="宋体"/>
          <w:b/>
          <w:bCs/>
          <w:sz w:val="44"/>
          <w:szCs w:val="44"/>
        </w:rPr>
      </w:pPr>
      <w:r>
        <w:rPr>
          <w:rFonts w:hint="eastAsia" w:ascii="宋体" w:hAnsi="宋体"/>
          <w:b/>
          <w:bCs/>
          <w:sz w:val="44"/>
          <w:szCs w:val="44"/>
        </w:rPr>
        <w:t>绩效评价报告</w:t>
      </w:r>
    </w:p>
    <w:p>
      <w:pPr>
        <w:jc w:val="center"/>
        <w:rPr>
          <w:rFonts w:ascii="仿宋_GB2312" w:hAnsi="宋体" w:eastAsia="仿宋_GB2312"/>
          <w:b/>
          <w:bCs/>
          <w:sz w:val="32"/>
          <w:szCs w:val="32"/>
        </w:rPr>
      </w:pPr>
    </w:p>
    <w:p>
      <w:pPr>
        <w:jc w:val="center"/>
        <w:rPr>
          <w:rFonts w:hint="eastAsia" w:ascii="仿宋_GB2312" w:hAnsi="宋体" w:eastAsia="仿宋_GB2312"/>
          <w:b/>
          <w:bCs/>
          <w:sz w:val="32"/>
          <w:szCs w:val="32"/>
        </w:rPr>
      </w:pPr>
    </w:p>
    <w:p>
      <w:pPr>
        <w:spacing w:line="578" w:lineRule="exact"/>
        <w:ind w:firstLine="320" w:firstLineChars="100"/>
        <w:rPr>
          <w:rFonts w:hint="eastAsia" w:ascii="仿宋_GB2312" w:hAnsi="仿宋" w:eastAsia="仿宋_GB2312" w:cs="仿宋"/>
          <w:sz w:val="32"/>
          <w:szCs w:val="32"/>
          <w:u w:val="single"/>
        </w:rPr>
      </w:pPr>
      <w:r>
        <w:rPr>
          <w:rFonts w:hint="eastAsia" w:ascii="仿宋_GB2312" w:hAnsi="仿宋" w:eastAsia="仿宋_GB2312" w:cs="仿宋"/>
          <w:sz w:val="32"/>
          <w:szCs w:val="32"/>
        </w:rPr>
        <w:t>评价类型：</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实施过程评价</w:t>
      </w: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pacing w:val="-20"/>
          <w:sz w:val="32"/>
          <w:szCs w:val="32"/>
          <w:u w:val="single"/>
          <w:lang w:eastAsia="zh-CN"/>
        </w:rPr>
        <w:t>☑</w:t>
      </w:r>
      <w:r>
        <w:rPr>
          <w:rFonts w:hint="eastAsia" w:ascii="仿宋_GB2312" w:hAnsi="仿宋" w:eastAsia="仿宋_GB2312" w:cs="仿宋"/>
          <w:sz w:val="32"/>
          <w:szCs w:val="32"/>
          <w:u w:val="single"/>
        </w:rPr>
        <w:t>完成结果评价</w:t>
      </w:r>
    </w:p>
    <w:p>
      <w:pPr>
        <w:spacing w:line="578"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项目名称：</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2019年度巾帼扶贫车间财政专项资金绩效评价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none"/>
        </w:rPr>
        <w:t xml:space="preserve">   </w:t>
      </w:r>
    </w:p>
    <w:p>
      <w:pPr>
        <w:spacing w:line="578"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项目单位：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省妇联及</w:t>
      </w:r>
      <w:r>
        <w:rPr>
          <w:rFonts w:hint="eastAsia" w:ascii="仿宋_GB2312" w:hAnsi="仿宋" w:eastAsia="仿宋_GB2312" w:cs="仿宋"/>
          <w:sz w:val="32"/>
          <w:szCs w:val="32"/>
          <w:u w:val="single"/>
          <w:lang w:val="en-US" w:eastAsia="zh-CN"/>
        </w:rPr>
        <w:t xml:space="preserve">甘肃省23个深度贫困县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p>
    <w:p>
      <w:pPr>
        <w:spacing w:line="578"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主管部门：</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lang w:eastAsia="zh-CN"/>
        </w:rPr>
        <w:t>甘肃省妇女联合会</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 xml:space="preserve">  </w:t>
      </w:r>
    </w:p>
    <w:p>
      <w:pPr>
        <w:spacing w:line="578"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评价时间：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2019</w:t>
      </w:r>
      <w:r>
        <w:rPr>
          <w:rFonts w:hint="eastAsia" w:ascii="仿宋_GB2312" w:hAnsi="仿宋" w:eastAsia="仿宋_GB2312" w:cs="仿宋"/>
          <w:sz w:val="32"/>
          <w:szCs w:val="32"/>
          <w:u w:val="single"/>
        </w:rPr>
        <w:t>年</w:t>
      </w:r>
      <w:r>
        <w:rPr>
          <w:rFonts w:hint="eastAsia" w:ascii="仿宋_GB2312" w:hAnsi="仿宋" w:eastAsia="仿宋_GB2312" w:cs="仿宋"/>
          <w:sz w:val="32"/>
          <w:szCs w:val="32"/>
          <w:u w:val="single"/>
          <w:lang w:val="en-US" w:eastAsia="zh-CN"/>
        </w:rPr>
        <w:t xml:space="preserve"> 01</w:t>
      </w:r>
      <w:r>
        <w:rPr>
          <w:rFonts w:hint="eastAsia" w:ascii="仿宋_GB2312" w:hAnsi="仿宋" w:eastAsia="仿宋_GB2312" w:cs="仿宋"/>
          <w:sz w:val="32"/>
          <w:szCs w:val="32"/>
          <w:u w:val="single"/>
        </w:rPr>
        <w:t>月</w:t>
      </w:r>
      <w:r>
        <w:rPr>
          <w:rFonts w:hint="eastAsia" w:ascii="仿宋_GB2312" w:hAnsi="仿宋" w:eastAsia="仿宋_GB2312" w:cs="仿宋"/>
          <w:sz w:val="32"/>
          <w:szCs w:val="32"/>
          <w:u w:val="single"/>
          <w:lang w:val="en-US" w:eastAsia="zh-CN"/>
        </w:rPr>
        <w:t>31</w:t>
      </w:r>
      <w:r>
        <w:rPr>
          <w:rFonts w:hint="eastAsia" w:ascii="仿宋_GB2312" w:hAnsi="仿宋" w:eastAsia="仿宋_GB2312" w:cs="仿宋"/>
          <w:sz w:val="32"/>
          <w:szCs w:val="32"/>
          <w:u w:val="single"/>
        </w:rPr>
        <w:t xml:space="preserve"> 日</w:t>
      </w:r>
      <w:r>
        <w:rPr>
          <w:rFonts w:hint="eastAsia" w:ascii="仿宋_GB2312" w:hAnsi="仿宋" w:eastAsia="仿宋_GB2312" w:cs="仿宋"/>
          <w:sz w:val="32"/>
          <w:szCs w:val="32"/>
          <w:u w:val="single"/>
          <w:lang w:val="en-US" w:eastAsia="zh-CN"/>
        </w:rPr>
        <w:t>2019</w:t>
      </w:r>
      <w:r>
        <w:rPr>
          <w:rFonts w:hint="eastAsia" w:ascii="仿宋_GB2312" w:hAnsi="仿宋" w:eastAsia="仿宋_GB2312" w:cs="仿宋"/>
          <w:sz w:val="32"/>
          <w:szCs w:val="32"/>
          <w:u w:val="single"/>
        </w:rPr>
        <w:t xml:space="preserve"> 年</w:t>
      </w:r>
      <w:r>
        <w:rPr>
          <w:rFonts w:hint="eastAsia" w:ascii="仿宋_GB2312" w:hAnsi="仿宋" w:eastAsia="仿宋_GB2312" w:cs="仿宋"/>
          <w:sz w:val="32"/>
          <w:szCs w:val="32"/>
          <w:u w:val="single"/>
          <w:lang w:val="en-US" w:eastAsia="zh-CN"/>
        </w:rPr>
        <w:t xml:space="preserve"> 12</w:t>
      </w:r>
      <w:r>
        <w:rPr>
          <w:rFonts w:hint="eastAsia" w:ascii="仿宋_GB2312" w:hAnsi="仿宋" w:eastAsia="仿宋_GB2312" w:cs="仿宋"/>
          <w:sz w:val="32"/>
          <w:szCs w:val="32"/>
          <w:u w:val="single"/>
        </w:rPr>
        <w:t xml:space="preserve"> 月</w:t>
      </w:r>
      <w:r>
        <w:rPr>
          <w:rFonts w:hint="eastAsia" w:ascii="仿宋_GB2312" w:hAnsi="仿宋" w:eastAsia="仿宋_GB2312" w:cs="仿宋"/>
          <w:sz w:val="32"/>
          <w:szCs w:val="32"/>
          <w:u w:val="single"/>
          <w:lang w:val="en-US" w:eastAsia="zh-CN"/>
        </w:rPr>
        <w:t>31</w:t>
      </w:r>
      <w:r>
        <w:rPr>
          <w:rFonts w:hint="eastAsia" w:ascii="仿宋_GB2312" w:hAnsi="仿宋" w:eastAsia="仿宋_GB2312" w:cs="仿宋"/>
          <w:sz w:val="32"/>
          <w:szCs w:val="32"/>
          <w:u w:val="single"/>
        </w:rPr>
        <w:t xml:space="preserve"> 日    </w:t>
      </w:r>
    </w:p>
    <w:p>
      <w:pPr>
        <w:spacing w:line="578" w:lineRule="exact"/>
        <w:ind w:left="1600" w:hanging="1600" w:hangingChars="500"/>
        <w:rPr>
          <w:rFonts w:hint="eastAsia" w:ascii="仿宋_GB2312" w:hAnsi="仿宋" w:eastAsia="仿宋_GB2312" w:cs="仿宋"/>
          <w:sz w:val="32"/>
          <w:szCs w:val="32"/>
          <w:u w:val="single"/>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组织方式：</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 xml:space="preserve">财政部门 </w:t>
      </w:r>
      <w:r>
        <w:rPr>
          <w:rFonts w:hint="eastAsia" w:ascii="仿宋_GB2312" w:hAnsi="仿宋" w:eastAsia="仿宋_GB2312" w:cs="仿宋"/>
          <w:sz w:val="32"/>
          <w:szCs w:val="32"/>
        </w:rPr>
        <w:t xml:space="preserve">    </w:t>
      </w:r>
      <w:r>
        <w:rPr>
          <w:rFonts w:hint="eastAsia" w:ascii="仿宋_GB2312" w:hAnsi="仿宋" w:eastAsia="仿宋_GB2312" w:cs="仿宋"/>
          <w:spacing w:val="-20"/>
          <w:sz w:val="32"/>
          <w:szCs w:val="32"/>
          <w:u w:val="single"/>
          <w:lang w:eastAsia="zh-CN"/>
        </w:rPr>
        <w:t>☑</w:t>
      </w:r>
      <w:r>
        <w:rPr>
          <w:rFonts w:hint="eastAsia" w:ascii="仿宋_GB2312" w:hAnsi="仿宋" w:eastAsia="仿宋_GB2312" w:cs="仿宋"/>
          <w:sz w:val="32"/>
          <w:szCs w:val="32"/>
          <w:u w:val="single"/>
        </w:rPr>
        <w:t>主管部门</w:t>
      </w:r>
      <w:r>
        <w:rPr>
          <w:rFonts w:hint="eastAsia" w:ascii="仿宋_GB2312" w:hAnsi="仿宋" w:eastAsia="仿宋_GB2312" w:cs="仿宋"/>
          <w:sz w:val="32"/>
          <w:szCs w:val="32"/>
        </w:rPr>
        <w:t xml:space="preserve">     </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 xml:space="preserve">项目单位 </w:t>
      </w:r>
    </w:p>
    <w:p>
      <w:pPr>
        <w:spacing w:line="578"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评价机构：</w:t>
      </w:r>
      <w:r>
        <w:rPr>
          <w:rFonts w:hint="eastAsia" w:ascii="仿宋_GB2312" w:hAnsi="仿宋" w:eastAsia="仿宋_GB2312" w:cs="仿宋"/>
          <w:spacing w:val="-20"/>
          <w:sz w:val="32"/>
          <w:szCs w:val="32"/>
          <w:u w:val="single"/>
          <w:lang w:eastAsia="zh-CN"/>
        </w:rPr>
        <w:t>☑</w:t>
      </w:r>
      <w:r>
        <w:rPr>
          <w:rFonts w:hint="eastAsia" w:ascii="仿宋_GB2312" w:hAnsi="仿宋" w:eastAsia="仿宋_GB2312" w:cs="仿宋"/>
          <w:sz w:val="32"/>
          <w:szCs w:val="32"/>
          <w:u w:val="single"/>
        </w:rPr>
        <w:t xml:space="preserve">中介机构 </w:t>
      </w:r>
      <w:r>
        <w:rPr>
          <w:rFonts w:hint="eastAsia" w:ascii="仿宋_GB2312" w:hAnsi="仿宋" w:eastAsia="仿宋_GB2312" w:cs="仿宋"/>
          <w:sz w:val="32"/>
          <w:szCs w:val="32"/>
        </w:rPr>
        <w:t xml:space="preserve">   </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 xml:space="preserve">专家组 </w:t>
      </w:r>
      <w:r>
        <w:rPr>
          <w:rFonts w:hint="eastAsia" w:ascii="仿宋_GB2312" w:hAnsi="仿宋" w:eastAsia="仿宋_GB2312" w:cs="仿宋"/>
          <w:sz w:val="32"/>
          <w:szCs w:val="32"/>
        </w:rPr>
        <w:t xml:space="preserve">  </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项目单位评价组</w:t>
      </w:r>
    </w:p>
    <w:p>
      <w:pPr>
        <w:spacing w:line="578" w:lineRule="exact"/>
        <w:ind w:left="1600" w:hanging="1600" w:hangingChars="500"/>
        <w:rPr>
          <w:rFonts w:hint="eastAsia" w:ascii="仿宋_GB2312" w:hAnsi="仿宋" w:eastAsia="仿宋_GB2312" w:cs="仿宋"/>
          <w:sz w:val="32"/>
          <w:szCs w:val="32"/>
        </w:rPr>
      </w:pPr>
    </w:p>
    <w:p>
      <w:pPr>
        <w:spacing w:line="578" w:lineRule="exact"/>
        <w:rPr>
          <w:rFonts w:hint="eastAsia"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78" w:lineRule="exact"/>
        <w:ind w:left="1600" w:hanging="1600" w:hangingChars="500"/>
        <w:rPr>
          <w:rFonts w:hint="eastAsia" w:ascii="仿宋_GB2312" w:hAnsi="仿宋" w:eastAsia="仿宋_GB2312" w:cs="仿宋"/>
          <w:sz w:val="32"/>
          <w:szCs w:val="32"/>
        </w:rPr>
      </w:pPr>
    </w:p>
    <w:p>
      <w:pPr>
        <w:spacing w:line="578" w:lineRule="exact"/>
        <w:ind w:left="1600" w:hanging="1600" w:hangingChars="500"/>
        <w:rPr>
          <w:rFonts w:hint="eastAsia" w:ascii="仿宋_GB2312" w:hAnsi="仿宋" w:eastAsia="仿宋_GB2312" w:cs="仿宋"/>
          <w:sz w:val="32"/>
          <w:szCs w:val="32"/>
          <w:lang w:eastAsia="zh-CN"/>
        </w:rPr>
      </w:pPr>
      <w:r>
        <w:rPr>
          <w:rFonts w:hint="eastAsia" w:ascii="仿宋_GB2312" w:hAnsi="仿宋" w:eastAsia="仿宋_GB2312" w:cs="仿宋"/>
          <w:sz w:val="32"/>
          <w:szCs w:val="32"/>
        </w:rPr>
        <w:t xml:space="preserve">           评价单位（盖章）：</w:t>
      </w:r>
      <w:r>
        <w:rPr>
          <w:rFonts w:hint="eastAsia" w:ascii="仿宋_GB2312" w:hAnsi="仿宋" w:eastAsia="仿宋_GB2312" w:cs="仿宋"/>
          <w:sz w:val="32"/>
          <w:szCs w:val="32"/>
          <w:lang w:eastAsia="zh-CN"/>
        </w:rPr>
        <w:t>甘肃中强会计师事务有限公司</w:t>
      </w:r>
    </w:p>
    <w:p>
      <w:pPr>
        <w:spacing w:line="578" w:lineRule="exact"/>
        <w:ind w:left="1600" w:hanging="1600" w:hangingChars="50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 xml:space="preserve">                    上报时间：</w:t>
      </w:r>
      <w:r>
        <w:rPr>
          <w:rFonts w:hint="eastAsia" w:ascii="仿宋_GB2312" w:hAnsi="仿宋" w:eastAsia="仿宋_GB2312" w:cs="仿宋"/>
          <w:sz w:val="32"/>
          <w:szCs w:val="32"/>
          <w:lang w:val="en-US" w:eastAsia="zh-CN"/>
        </w:rPr>
        <w:t>2019年06月15日</w:t>
      </w:r>
    </w:p>
    <w:p>
      <w:pPr>
        <w:rPr>
          <w:rFonts w:hint="eastAsia" w:ascii="宋体" w:hAnsi="宋体"/>
          <w:b/>
          <w:bCs/>
          <w:sz w:val="28"/>
          <w:szCs w:val="28"/>
          <w:lang w:eastAsia="zh-CN"/>
        </w:rPr>
      </w:pPr>
      <w:r>
        <w:rPr>
          <w:rFonts w:hint="eastAsia" w:ascii="宋体" w:hAnsi="宋体"/>
          <w:b/>
          <w:bCs/>
          <w:sz w:val="28"/>
          <w:szCs w:val="28"/>
          <w:lang w:eastAsia="zh-CN"/>
        </w:rPr>
        <w:br w:type="page"/>
      </w:r>
    </w:p>
    <w:p>
      <w:pPr>
        <w:tabs>
          <w:tab w:val="left" w:pos="3579"/>
          <w:tab w:val="center" w:pos="4380"/>
        </w:tabs>
        <w:spacing w:before="0" w:beforeLines="0" w:after="0" w:afterLines="0" w:line="240" w:lineRule="auto"/>
        <w:ind w:left="0" w:leftChars="0" w:right="0" w:rightChars="0" w:firstLine="0" w:firstLineChars="0"/>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ab/>
      </w:r>
    </w:p>
    <w:sdt>
      <w:sdtPr>
        <w:rPr>
          <w:rFonts w:ascii="宋体" w:hAnsi="宋体" w:eastAsia="宋体" w:cs="Times New Roman"/>
          <w:kern w:val="2"/>
          <w:sz w:val="21"/>
          <w:szCs w:val="20"/>
          <w:lang w:val="en-US" w:eastAsia="zh-CN" w:bidi="ar-SA"/>
        </w:rPr>
        <w:id w:val="147453366"/>
        <w15:color w:val="DBDBDB"/>
        <w:docPartObj>
          <w:docPartGallery w:val="Table of Contents"/>
          <w:docPartUnique/>
        </w:docPartObj>
      </w:sdtPr>
      <w:sdtEndPr>
        <w:rPr>
          <w:rFonts w:hint="eastAsia" w:ascii="宋体" w:hAnsi="宋体" w:eastAsia="宋体" w:cs="Times New Roman"/>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pPr>
            <w:pStyle w:val="16"/>
            <w:tabs>
              <w:tab w:val="right" w:leader="dot" w:pos="8640"/>
            </w:tabs>
            <w:rPr>
              <w:sz w:val="28"/>
              <w:szCs w:val="28"/>
            </w:rPr>
          </w:pPr>
          <w:r>
            <w:rPr>
              <w:rFonts w:hint="eastAsia" w:ascii="宋体" w:hAnsi="宋体"/>
              <w:b/>
              <w:bCs/>
              <w:sz w:val="28"/>
              <w:szCs w:val="28"/>
              <w:lang w:eastAsia="zh-CN"/>
            </w:rPr>
            <w:fldChar w:fldCharType="begin"/>
          </w:r>
          <w:r>
            <w:rPr>
              <w:rFonts w:hint="eastAsia" w:ascii="宋体" w:hAnsi="宋体"/>
              <w:b/>
              <w:bCs/>
              <w:sz w:val="28"/>
              <w:szCs w:val="28"/>
              <w:lang w:eastAsia="zh-CN"/>
            </w:rPr>
            <w:instrText xml:space="preserve">TOC \o "1-3" \h \u </w:instrText>
          </w:r>
          <w:r>
            <w:rPr>
              <w:rFonts w:hint="eastAsia" w:ascii="宋体" w:hAnsi="宋体"/>
              <w:b/>
              <w:bCs/>
              <w:sz w:val="28"/>
              <w:szCs w:val="28"/>
              <w:lang w:eastAsia="zh-CN"/>
            </w:rPr>
            <w:fldChar w:fldCharType="separate"/>
          </w: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_Toc21374 </w:instrText>
          </w:r>
          <w:r>
            <w:rPr>
              <w:rFonts w:hint="eastAsia" w:ascii="宋体" w:hAnsi="宋体"/>
              <w:bCs/>
              <w:sz w:val="28"/>
              <w:szCs w:val="28"/>
              <w:lang w:eastAsia="zh-CN"/>
            </w:rPr>
            <w:fldChar w:fldCharType="separate"/>
          </w:r>
          <w:r>
            <w:rPr>
              <w:rFonts w:hint="eastAsia" w:ascii="宋体" w:hAnsi="宋体"/>
              <w:bCs/>
              <w:sz w:val="28"/>
              <w:szCs w:val="28"/>
              <w:lang w:eastAsia="zh-CN"/>
            </w:rPr>
            <w:t>摘</w:t>
          </w:r>
          <w:r>
            <w:rPr>
              <w:rFonts w:hint="eastAsia" w:ascii="宋体" w:hAnsi="宋体"/>
              <w:bCs/>
              <w:sz w:val="28"/>
              <w:szCs w:val="28"/>
              <w:lang w:val="en-US" w:eastAsia="zh-CN"/>
            </w:rPr>
            <w:t xml:space="preserve"> </w:t>
          </w:r>
          <w:r>
            <w:rPr>
              <w:rFonts w:hint="eastAsia" w:ascii="宋体" w:hAnsi="宋体"/>
              <w:bCs/>
              <w:sz w:val="28"/>
              <w:szCs w:val="28"/>
              <w:lang w:eastAsia="zh-CN"/>
            </w:rPr>
            <w:t>要</w:t>
          </w:r>
          <w:r>
            <w:rPr>
              <w:sz w:val="28"/>
              <w:szCs w:val="28"/>
            </w:rPr>
            <w:tab/>
          </w:r>
          <w:r>
            <w:rPr>
              <w:sz w:val="28"/>
              <w:szCs w:val="28"/>
            </w:rPr>
            <w:fldChar w:fldCharType="begin"/>
          </w:r>
          <w:r>
            <w:rPr>
              <w:sz w:val="28"/>
              <w:szCs w:val="28"/>
            </w:rPr>
            <w:instrText xml:space="preserve"> PAGEREF _Toc21374 </w:instrText>
          </w:r>
          <w:r>
            <w:rPr>
              <w:sz w:val="28"/>
              <w:szCs w:val="28"/>
            </w:rPr>
            <w:fldChar w:fldCharType="separate"/>
          </w:r>
          <w:r>
            <w:rPr>
              <w:sz w:val="28"/>
              <w:szCs w:val="28"/>
            </w:rPr>
            <w:t>1</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_Toc3084 </w:instrText>
          </w:r>
          <w:r>
            <w:rPr>
              <w:rFonts w:hint="eastAsia" w:ascii="宋体" w:hAnsi="宋体"/>
              <w:bCs/>
              <w:sz w:val="28"/>
              <w:szCs w:val="28"/>
              <w:lang w:eastAsia="zh-CN"/>
            </w:rPr>
            <w:fldChar w:fldCharType="separate"/>
          </w:r>
          <w:r>
            <w:rPr>
              <w:rFonts w:hint="eastAsia" w:ascii="宋体" w:hAnsi="宋体"/>
              <w:bCs/>
              <w:sz w:val="28"/>
              <w:szCs w:val="28"/>
              <w:lang w:eastAsia="zh-CN"/>
            </w:rPr>
            <w:t>一、 概述</w:t>
          </w:r>
          <w:r>
            <w:rPr>
              <w:sz w:val="28"/>
              <w:szCs w:val="28"/>
            </w:rPr>
            <w:tab/>
          </w:r>
          <w:r>
            <w:rPr>
              <w:sz w:val="28"/>
              <w:szCs w:val="28"/>
            </w:rPr>
            <w:fldChar w:fldCharType="begin"/>
          </w:r>
          <w:r>
            <w:rPr>
              <w:sz w:val="28"/>
              <w:szCs w:val="28"/>
            </w:rPr>
            <w:instrText xml:space="preserve"> PAGEREF _Toc3084 </w:instrText>
          </w:r>
          <w:r>
            <w:rPr>
              <w:sz w:val="28"/>
              <w:szCs w:val="28"/>
            </w:rPr>
            <w:fldChar w:fldCharType="separate"/>
          </w:r>
          <w:r>
            <w:rPr>
              <w:sz w:val="28"/>
              <w:szCs w:val="28"/>
            </w:rPr>
            <w:t>1</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_Toc5059 </w:instrText>
          </w:r>
          <w:r>
            <w:rPr>
              <w:rFonts w:hint="eastAsia" w:ascii="宋体" w:hAnsi="宋体"/>
              <w:bCs/>
              <w:sz w:val="28"/>
              <w:szCs w:val="28"/>
              <w:lang w:eastAsia="zh-CN"/>
            </w:rPr>
            <w:fldChar w:fldCharType="separate"/>
          </w:r>
          <w:r>
            <w:rPr>
              <w:rFonts w:hint="eastAsia" w:ascii="宋体" w:hAnsi="宋体" w:eastAsia="宋体" w:cs="Times New Roman"/>
              <w:bCs/>
              <w:sz w:val="28"/>
              <w:szCs w:val="28"/>
              <w:lang w:val="en-US" w:eastAsia="zh-CN"/>
            </w:rPr>
            <w:t xml:space="preserve">二、 </w:t>
          </w:r>
          <w:r>
            <w:rPr>
              <w:rFonts w:hint="eastAsia" w:ascii="宋体" w:hAnsi="宋体"/>
              <w:bCs/>
              <w:sz w:val="28"/>
              <w:szCs w:val="28"/>
              <w:lang w:eastAsia="zh-CN"/>
            </w:rPr>
            <w:t>评价结论</w:t>
          </w:r>
          <w:r>
            <w:rPr>
              <w:sz w:val="28"/>
              <w:szCs w:val="28"/>
            </w:rPr>
            <w:tab/>
          </w:r>
          <w:r>
            <w:rPr>
              <w:sz w:val="28"/>
              <w:szCs w:val="28"/>
            </w:rPr>
            <w:fldChar w:fldCharType="begin"/>
          </w:r>
          <w:r>
            <w:rPr>
              <w:sz w:val="28"/>
              <w:szCs w:val="28"/>
            </w:rPr>
            <w:instrText xml:space="preserve"> PAGEREF _Toc5059 </w:instrText>
          </w:r>
          <w:r>
            <w:rPr>
              <w:sz w:val="28"/>
              <w:szCs w:val="28"/>
            </w:rPr>
            <w:fldChar w:fldCharType="separate"/>
          </w:r>
          <w:r>
            <w:rPr>
              <w:sz w:val="28"/>
              <w:szCs w:val="28"/>
            </w:rPr>
            <w:t>1</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_Toc24805 </w:instrText>
          </w:r>
          <w:r>
            <w:rPr>
              <w:rFonts w:hint="eastAsia" w:ascii="宋体" w:hAnsi="宋体"/>
              <w:bCs/>
              <w:sz w:val="28"/>
              <w:szCs w:val="28"/>
              <w:lang w:eastAsia="zh-CN"/>
            </w:rPr>
            <w:fldChar w:fldCharType="separate"/>
          </w:r>
          <w:r>
            <w:rPr>
              <w:rFonts w:hint="eastAsia" w:ascii="仿宋" w:hAnsi="仿宋" w:eastAsia="仿宋" w:cs="仿宋"/>
              <w:sz w:val="28"/>
              <w:szCs w:val="28"/>
            </w:rPr>
            <w:t xml:space="preserve">三、 </w:t>
          </w:r>
          <w:r>
            <w:rPr>
              <w:rFonts w:hint="eastAsia" w:ascii="宋体" w:hAnsi="宋体"/>
              <w:bCs/>
              <w:sz w:val="28"/>
              <w:szCs w:val="28"/>
              <w:lang w:eastAsia="zh-CN"/>
            </w:rPr>
            <w:t>评价建议</w:t>
          </w:r>
          <w:r>
            <w:rPr>
              <w:sz w:val="28"/>
              <w:szCs w:val="28"/>
            </w:rPr>
            <w:tab/>
          </w:r>
          <w:r>
            <w:rPr>
              <w:sz w:val="28"/>
              <w:szCs w:val="28"/>
            </w:rPr>
            <w:fldChar w:fldCharType="begin"/>
          </w:r>
          <w:r>
            <w:rPr>
              <w:sz w:val="28"/>
              <w:szCs w:val="28"/>
            </w:rPr>
            <w:instrText xml:space="preserve"> PAGEREF _Toc24805 </w:instrText>
          </w:r>
          <w:r>
            <w:rPr>
              <w:sz w:val="28"/>
              <w:szCs w:val="28"/>
            </w:rPr>
            <w:fldChar w:fldCharType="separate"/>
          </w:r>
          <w:r>
            <w:rPr>
              <w:sz w:val="28"/>
              <w:szCs w:val="28"/>
            </w:rPr>
            <w:t>1</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_Toc9053 </w:instrText>
          </w:r>
          <w:r>
            <w:rPr>
              <w:rFonts w:hint="eastAsia" w:ascii="宋体" w:hAnsi="宋体"/>
              <w:bCs/>
              <w:sz w:val="28"/>
              <w:szCs w:val="28"/>
              <w:lang w:eastAsia="zh-CN"/>
            </w:rPr>
            <w:fldChar w:fldCharType="separate"/>
          </w:r>
          <w:r>
            <w:rPr>
              <w:rFonts w:hint="eastAsia" w:ascii="宋体" w:hAnsi="宋体"/>
              <w:bCs/>
              <w:sz w:val="28"/>
              <w:szCs w:val="28"/>
              <w:lang w:eastAsia="zh-CN"/>
            </w:rPr>
            <w:t>前</w:t>
          </w:r>
          <w:r>
            <w:rPr>
              <w:rFonts w:hint="eastAsia" w:ascii="宋体" w:hAnsi="宋体"/>
              <w:bCs/>
              <w:sz w:val="28"/>
              <w:szCs w:val="28"/>
              <w:lang w:val="en-US" w:eastAsia="zh-CN"/>
            </w:rPr>
            <w:t xml:space="preserve"> </w:t>
          </w:r>
          <w:r>
            <w:rPr>
              <w:rFonts w:hint="eastAsia" w:ascii="宋体" w:hAnsi="宋体"/>
              <w:bCs/>
              <w:sz w:val="28"/>
              <w:szCs w:val="28"/>
              <w:lang w:eastAsia="zh-CN"/>
            </w:rPr>
            <w:t>言</w:t>
          </w:r>
          <w:r>
            <w:rPr>
              <w:sz w:val="28"/>
              <w:szCs w:val="28"/>
            </w:rPr>
            <w:tab/>
          </w:r>
          <w:r>
            <w:rPr>
              <w:sz w:val="28"/>
              <w:szCs w:val="28"/>
            </w:rPr>
            <w:fldChar w:fldCharType="begin"/>
          </w:r>
          <w:r>
            <w:rPr>
              <w:sz w:val="28"/>
              <w:szCs w:val="28"/>
            </w:rPr>
            <w:instrText xml:space="preserve"> PAGEREF _Toc9053 </w:instrText>
          </w:r>
          <w:r>
            <w:rPr>
              <w:sz w:val="28"/>
              <w:szCs w:val="28"/>
            </w:rPr>
            <w:fldChar w:fldCharType="separate"/>
          </w:r>
          <w:r>
            <w:rPr>
              <w:sz w:val="28"/>
              <w:szCs w:val="28"/>
            </w:rPr>
            <w:t>3</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_Toc6730 </w:instrText>
          </w:r>
          <w:r>
            <w:rPr>
              <w:rFonts w:hint="eastAsia" w:ascii="宋体" w:hAnsi="宋体"/>
              <w:bCs/>
              <w:sz w:val="28"/>
              <w:szCs w:val="28"/>
              <w:lang w:eastAsia="zh-CN"/>
            </w:rPr>
            <w:fldChar w:fldCharType="separate"/>
          </w:r>
          <w:r>
            <w:rPr>
              <w:rFonts w:hint="eastAsia" w:ascii="宋体" w:hAnsi="宋体"/>
              <w:bCs/>
              <w:sz w:val="28"/>
              <w:szCs w:val="28"/>
              <w:lang w:eastAsia="zh-CN"/>
            </w:rPr>
            <w:t>一、 开展绩效评价的背景</w:t>
          </w:r>
          <w:r>
            <w:rPr>
              <w:sz w:val="28"/>
              <w:szCs w:val="28"/>
            </w:rPr>
            <w:tab/>
          </w:r>
          <w:r>
            <w:rPr>
              <w:sz w:val="28"/>
              <w:szCs w:val="28"/>
            </w:rPr>
            <w:fldChar w:fldCharType="begin"/>
          </w:r>
          <w:r>
            <w:rPr>
              <w:sz w:val="28"/>
              <w:szCs w:val="28"/>
            </w:rPr>
            <w:instrText xml:space="preserve"> PAGEREF _Toc6730 </w:instrText>
          </w:r>
          <w:r>
            <w:rPr>
              <w:sz w:val="28"/>
              <w:szCs w:val="28"/>
            </w:rPr>
            <w:fldChar w:fldCharType="separate"/>
          </w:r>
          <w:r>
            <w:rPr>
              <w:sz w:val="28"/>
              <w:szCs w:val="28"/>
            </w:rPr>
            <w:t>3</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_Toc1715 </w:instrText>
          </w:r>
          <w:r>
            <w:rPr>
              <w:rFonts w:hint="eastAsia" w:ascii="宋体" w:hAnsi="宋体"/>
              <w:bCs/>
              <w:sz w:val="28"/>
              <w:szCs w:val="28"/>
              <w:lang w:eastAsia="zh-CN"/>
            </w:rPr>
            <w:fldChar w:fldCharType="separate"/>
          </w:r>
          <w:r>
            <w:rPr>
              <w:rFonts w:hint="eastAsia" w:ascii="宋体" w:hAnsi="宋体"/>
              <w:bCs/>
              <w:sz w:val="28"/>
              <w:szCs w:val="28"/>
              <w:lang w:eastAsia="zh-CN"/>
            </w:rPr>
            <w:t>二、 评价委托关系</w:t>
          </w:r>
          <w:r>
            <w:rPr>
              <w:sz w:val="28"/>
              <w:szCs w:val="28"/>
            </w:rPr>
            <w:tab/>
          </w:r>
          <w:r>
            <w:rPr>
              <w:sz w:val="28"/>
              <w:szCs w:val="28"/>
            </w:rPr>
            <w:fldChar w:fldCharType="begin"/>
          </w:r>
          <w:r>
            <w:rPr>
              <w:sz w:val="28"/>
              <w:szCs w:val="28"/>
            </w:rPr>
            <w:instrText xml:space="preserve"> PAGEREF _Toc1715 </w:instrText>
          </w:r>
          <w:r>
            <w:rPr>
              <w:sz w:val="28"/>
              <w:szCs w:val="28"/>
            </w:rPr>
            <w:fldChar w:fldCharType="separate"/>
          </w:r>
          <w:r>
            <w:rPr>
              <w:sz w:val="28"/>
              <w:szCs w:val="28"/>
            </w:rPr>
            <w:t>3</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_Toc26967 </w:instrText>
          </w:r>
          <w:r>
            <w:rPr>
              <w:rFonts w:hint="eastAsia" w:ascii="宋体" w:hAnsi="宋体"/>
              <w:bCs/>
              <w:sz w:val="28"/>
              <w:szCs w:val="28"/>
              <w:lang w:eastAsia="zh-CN"/>
            </w:rPr>
            <w:fldChar w:fldCharType="separate"/>
          </w:r>
          <w:r>
            <w:rPr>
              <w:rFonts w:hint="eastAsia" w:ascii="宋体" w:hAnsi="宋体"/>
              <w:bCs/>
              <w:sz w:val="28"/>
              <w:szCs w:val="28"/>
              <w:lang w:eastAsia="zh-CN"/>
            </w:rPr>
            <w:t>一、</w:t>
          </w:r>
          <w:r>
            <w:rPr>
              <w:rFonts w:hint="eastAsia" w:ascii="宋体" w:hAnsi="宋体"/>
              <w:bCs/>
              <w:sz w:val="28"/>
              <w:szCs w:val="28"/>
            </w:rPr>
            <w:t>项目</w:t>
          </w:r>
          <w:r>
            <w:rPr>
              <w:rFonts w:hint="eastAsia" w:ascii="宋体" w:hAnsi="宋体"/>
              <w:bCs/>
              <w:sz w:val="28"/>
              <w:szCs w:val="28"/>
              <w:lang w:eastAsia="zh-CN"/>
            </w:rPr>
            <w:t>基本情况</w:t>
          </w:r>
          <w:r>
            <w:rPr>
              <w:sz w:val="28"/>
              <w:szCs w:val="28"/>
            </w:rPr>
            <w:tab/>
          </w:r>
          <w:r>
            <w:rPr>
              <w:sz w:val="28"/>
              <w:szCs w:val="28"/>
            </w:rPr>
            <w:fldChar w:fldCharType="begin"/>
          </w:r>
          <w:r>
            <w:rPr>
              <w:sz w:val="28"/>
              <w:szCs w:val="28"/>
            </w:rPr>
            <w:instrText xml:space="preserve"> PAGEREF _Toc26967 </w:instrText>
          </w:r>
          <w:r>
            <w:rPr>
              <w:sz w:val="28"/>
              <w:szCs w:val="28"/>
            </w:rPr>
            <w:fldChar w:fldCharType="separate"/>
          </w:r>
          <w:r>
            <w:rPr>
              <w:sz w:val="28"/>
              <w:szCs w:val="28"/>
            </w:rPr>
            <w:t>4</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_Toc14204 </w:instrText>
          </w:r>
          <w:r>
            <w:rPr>
              <w:rFonts w:hint="eastAsia" w:ascii="宋体" w:hAnsi="宋体"/>
              <w:bCs/>
              <w:sz w:val="28"/>
              <w:szCs w:val="28"/>
              <w:lang w:eastAsia="zh-CN"/>
            </w:rPr>
            <w:fldChar w:fldCharType="separate"/>
          </w:r>
          <w:r>
            <w:rPr>
              <w:rFonts w:hint="eastAsia" w:ascii="宋体" w:hAnsi="宋体"/>
              <w:bCs/>
              <w:sz w:val="28"/>
              <w:szCs w:val="28"/>
            </w:rPr>
            <w:t>（一）</w:t>
          </w:r>
          <w:r>
            <w:rPr>
              <w:rFonts w:hint="eastAsia" w:ascii="宋体" w:hAnsi="宋体"/>
              <w:bCs/>
              <w:sz w:val="28"/>
              <w:szCs w:val="28"/>
              <w:lang w:eastAsia="zh-CN"/>
            </w:rPr>
            <w:t>项目概况</w:t>
          </w:r>
          <w:r>
            <w:rPr>
              <w:sz w:val="28"/>
              <w:szCs w:val="28"/>
            </w:rPr>
            <w:tab/>
          </w:r>
          <w:r>
            <w:rPr>
              <w:sz w:val="28"/>
              <w:szCs w:val="28"/>
            </w:rPr>
            <w:fldChar w:fldCharType="begin"/>
          </w:r>
          <w:r>
            <w:rPr>
              <w:sz w:val="28"/>
              <w:szCs w:val="28"/>
            </w:rPr>
            <w:instrText xml:space="preserve"> PAGEREF _Toc14204 </w:instrText>
          </w:r>
          <w:r>
            <w:rPr>
              <w:sz w:val="28"/>
              <w:szCs w:val="28"/>
            </w:rPr>
            <w:fldChar w:fldCharType="separate"/>
          </w:r>
          <w:r>
            <w:rPr>
              <w:sz w:val="28"/>
              <w:szCs w:val="28"/>
            </w:rPr>
            <w:t>4</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_Toc25034 </w:instrText>
          </w:r>
          <w:r>
            <w:rPr>
              <w:rFonts w:hint="eastAsia" w:ascii="宋体" w:hAnsi="宋体"/>
              <w:bCs/>
              <w:sz w:val="28"/>
              <w:szCs w:val="28"/>
              <w:lang w:eastAsia="zh-CN"/>
            </w:rPr>
            <w:fldChar w:fldCharType="separate"/>
          </w:r>
          <w:r>
            <w:rPr>
              <w:rFonts w:hint="eastAsia" w:ascii="宋体" w:hAnsi="宋体"/>
              <w:sz w:val="28"/>
              <w:szCs w:val="28"/>
            </w:rPr>
            <w:t xml:space="preserve">（二） </w:t>
          </w:r>
          <w:r>
            <w:rPr>
              <w:rFonts w:hint="eastAsia" w:ascii="宋体" w:hAnsi="宋体"/>
              <w:sz w:val="28"/>
              <w:szCs w:val="28"/>
              <w:lang w:eastAsia="zh-CN"/>
            </w:rPr>
            <w:t>项目绩效目标</w:t>
          </w:r>
          <w:r>
            <w:rPr>
              <w:sz w:val="28"/>
              <w:szCs w:val="28"/>
            </w:rPr>
            <w:tab/>
          </w:r>
          <w:r>
            <w:rPr>
              <w:sz w:val="28"/>
              <w:szCs w:val="28"/>
            </w:rPr>
            <w:fldChar w:fldCharType="begin"/>
          </w:r>
          <w:r>
            <w:rPr>
              <w:sz w:val="28"/>
              <w:szCs w:val="28"/>
            </w:rPr>
            <w:instrText xml:space="preserve"> PAGEREF _Toc25034 </w:instrText>
          </w:r>
          <w:r>
            <w:rPr>
              <w:sz w:val="28"/>
              <w:szCs w:val="28"/>
            </w:rPr>
            <w:fldChar w:fldCharType="separate"/>
          </w:r>
          <w:r>
            <w:rPr>
              <w:sz w:val="28"/>
              <w:szCs w:val="28"/>
            </w:rPr>
            <w:t>14</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_Toc32730 </w:instrText>
          </w:r>
          <w:r>
            <w:rPr>
              <w:rFonts w:hint="eastAsia" w:ascii="宋体" w:hAnsi="宋体"/>
              <w:bCs/>
              <w:sz w:val="28"/>
              <w:szCs w:val="28"/>
              <w:lang w:eastAsia="zh-CN"/>
            </w:rPr>
            <w:fldChar w:fldCharType="separate"/>
          </w:r>
          <w:r>
            <w:rPr>
              <w:rFonts w:ascii="宋体" w:hAnsi="宋体"/>
              <w:sz w:val="28"/>
              <w:szCs w:val="28"/>
            </w:rPr>
            <w:t xml:space="preserve">二、 </w:t>
          </w:r>
          <w:r>
            <w:rPr>
              <w:rFonts w:hint="eastAsia" w:ascii="宋体" w:hAnsi="宋体"/>
              <w:sz w:val="28"/>
              <w:szCs w:val="28"/>
            </w:rPr>
            <w:t>绩效评价</w:t>
          </w:r>
          <w:r>
            <w:rPr>
              <w:rFonts w:hint="eastAsia" w:ascii="宋体" w:hAnsi="宋体"/>
              <w:sz w:val="28"/>
              <w:szCs w:val="28"/>
              <w:lang w:eastAsia="zh-CN"/>
            </w:rPr>
            <w:t>工作情况</w:t>
          </w:r>
          <w:r>
            <w:rPr>
              <w:sz w:val="28"/>
              <w:szCs w:val="28"/>
            </w:rPr>
            <w:tab/>
          </w:r>
          <w:r>
            <w:rPr>
              <w:sz w:val="28"/>
              <w:szCs w:val="28"/>
            </w:rPr>
            <w:fldChar w:fldCharType="begin"/>
          </w:r>
          <w:r>
            <w:rPr>
              <w:sz w:val="28"/>
              <w:szCs w:val="28"/>
            </w:rPr>
            <w:instrText xml:space="preserve"> PAGEREF _Toc32730 </w:instrText>
          </w:r>
          <w:r>
            <w:rPr>
              <w:sz w:val="28"/>
              <w:szCs w:val="28"/>
            </w:rPr>
            <w:fldChar w:fldCharType="separate"/>
          </w:r>
          <w:r>
            <w:rPr>
              <w:sz w:val="28"/>
              <w:szCs w:val="28"/>
            </w:rPr>
            <w:t>14</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_Toc32049 </w:instrText>
          </w:r>
          <w:r>
            <w:rPr>
              <w:rFonts w:hint="eastAsia" w:ascii="宋体" w:hAnsi="宋体"/>
              <w:bCs/>
              <w:sz w:val="28"/>
              <w:szCs w:val="28"/>
              <w:lang w:eastAsia="zh-CN"/>
            </w:rPr>
            <w:fldChar w:fldCharType="separate"/>
          </w:r>
          <w:r>
            <w:rPr>
              <w:rFonts w:hint="eastAsia" w:ascii="宋体" w:hAnsi="宋体"/>
              <w:sz w:val="28"/>
              <w:szCs w:val="28"/>
            </w:rPr>
            <w:t xml:space="preserve">（一） </w:t>
          </w:r>
          <w:r>
            <w:rPr>
              <w:rFonts w:hint="eastAsia" w:ascii="宋体" w:hAnsi="宋体"/>
              <w:sz w:val="28"/>
              <w:szCs w:val="28"/>
              <w:lang w:eastAsia="zh-CN"/>
            </w:rPr>
            <w:t>绩效评价目的</w:t>
          </w:r>
          <w:r>
            <w:rPr>
              <w:sz w:val="28"/>
              <w:szCs w:val="28"/>
            </w:rPr>
            <w:tab/>
          </w:r>
          <w:r>
            <w:rPr>
              <w:sz w:val="28"/>
              <w:szCs w:val="28"/>
            </w:rPr>
            <w:fldChar w:fldCharType="begin"/>
          </w:r>
          <w:r>
            <w:rPr>
              <w:sz w:val="28"/>
              <w:szCs w:val="28"/>
            </w:rPr>
            <w:instrText xml:space="preserve"> PAGEREF _Toc32049 </w:instrText>
          </w:r>
          <w:r>
            <w:rPr>
              <w:sz w:val="28"/>
              <w:szCs w:val="28"/>
            </w:rPr>
            <w:fldChar w:fldCharType="separate"/>
          </w:r>
          <w:r>
            <w:rPr>
              <w:sz w:val="28"/>
              <w:szCs w:val="28"/>
            </w:rPr>
            <w:t>14</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_Toc13131 </w:instrText>
          </w:r>
          <w:r>
            <w:rPr>
              <w:rFonts w:hint="eastAsia" w:ascii="宋体" w:hAnsi="宋体"/>
              <w:bCs/>
              <w:sz w:val="28"/>
              <w:szCs w:val="28"/>
              <w:lang w:eastAsia="zh-CN"/>
            </w:rPr>
            <w:fldChar w:fldCharType="separate"/>
          </w:r>
          <w:r>
            <w:rPr>
              <w:rFonts w:hint="eastAsia" w:ascii="宋体" w:hAnsi="宋体" w:cs="Times New Roman"/>
              <w:bCs/>
              <w:sz w:val="28"/>
              <w:szCs w:val="28"/>
              <w:highlight w:val="none"/>
            </w:rPr>
            <w:t>（二）</w:t>
          </w:r>
          <w:r>
            <w:rPr>
              <w:rFonts w:hint="eastAsia" w:ascii="宋体" w:hAnsi="宋体" w:cs="Times New Roman"/>
              <w:bCs/>
              <w:sz w:val="28"/>
              <w:szCs w:val="28"/>
              <w:highlight w:val="none"/>
              <w:lang w:eastAsia="zh-CN"/>
            </w:rPr>
            <w:t>绩效评价设计过程</w:t>
          </w:r>
          <w:r>
            <w:rPr>
              <w:sz w:val="28"/>
              <w:szCs w:val="28"/>
            </w:rPr>
            <w:tab/>
          </w:r>
          <w:r>
            <w:rPr>
              <w:sz w:val="28"/>
              <w:szCs w:val="28"/>
            </w:rPr>
            <w:fldChar w:fldCharType="begin"/>
          </w:r>
          <w:r>
            <w:rPr>
              <w:sz w:val="28"/>
              <w:szCs w:val="28"/>
            </w:rPr>
            <w:instrText xml:space="preserve"> PAGEREF _Toc13131 </w:instrText>
          </w:r>
          <w:r>
            <w:rPr>
              <w:sz w:val="28"/>
              <w:szCs w:val="28"/>
            </w:rPr>
            <w:fldChar w:fldCharType="separate"/>
          </w:r>
          <w:r>
            <w:rPr>
              <w:sz w:val="28"/>
              <w:szCs w:val="28"/>
            </w:rPr>
            <w:t>15</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_Toc10381 </w:instrText>
          </w:r>
          <w:r>
            <w:rPr>
              <w:rFonts w:hint="eastAsia" w:ascii="宋体" w:hAnsi="宋体"/>
              <w:bCs/>
              <w:sz w:val="28"/>
              <w:szCs w:val="28"/>
              <w:lang w:eastAsia="zh-CN"/>
            </w:rPr>
            <w:fldChar w:fldCharType="separate"/>
          </w:r>
          <w:r>
            <w:rPr>
              <w:rFonts w:hint="eastAsia" w:ascii="宋体" w:hAnsi="宋体" w:cs="Times New Roman"/>
              <w:sz w:val="28"/>
              <w:szCs w:val="28"/>
              <w:highlight w:val="none"/>
            </w:rPr>
            <w:t>1. 前期准备</w:t>
          </w:r>
          <w:r>
            <w:rPr>
              <w:sz w:val="28"/>
              <w:szCs w:val="28"/>
            </w:rPr>
            <w:tab/>
          </w:r>
          <w:r>
            <w:rPr>
              <w:sz w:val="28"/>
              <w:szCs w:val="28"/>
            </w:rPr>
            <w:fldChar w:fldCharType="begin"/>
          </w:r>
          <w:r>
            <w:rPr>
              <w:sz w:val="28"/>
              <w:szCs w:val="28"/>
            </w:rPr>
            <w:instrText xml:space="preserve"> PAGEREF _Toc10381 </w:instrText>
          </w:r>
          <w:r>
            <w:rPr>
              <w:sz w:val="28"/>
              <w:szCs w:val="28"/>
            </w:rPr>
            <w:fldChar w:fldCharType="separate"/>
          </w:r>
          <w:r>
            <w:rPr>
              <w:sz w:val="28"/>
              <w:szCs w:val="28"/>
            </w:rPr>
            <w:t>15</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_Toc23620 </w:instrText>
          </w:r>
          <w:r>
            <w:rPr>
              <w:rFonts w:hint="eastAsia" w:ascii="宋体" w:hAnsi="宋体"/>
              <w:bCs/>
              <w:sz w:val="28"/>
              <w:szCs w:val="28"/>
              <w:lang w:eastAsia="zh-CN"/>
            </w:rPr>
            <w:fldChar w:fldCharType="separate"/>
          </w:r>
          <w:r>
            <w:rPr>
              <w:rFonts w:hint="eastAsia" w:ascii="宋体" w:hAnsi="宋体" w:cs="Times New Roman"/>
              <w:sz w:val="28"/>
              <w:szCs w:val="28"/>
              <w:highlight w:val="none"/>
            </w:rPr>
            <w:t>2. 绩效评价设计</w:t>
          </w:r>
          <w:r>
            <w:rPr>
              <w:rFonts w:hint="eastAsia" w:ascii="宋体" w:hAnsi="宋体" w:cs="Times New Roman"/>
              <w:sz w:val="28"/>
              <w:szCs w:val="28"/>
              <w:highlight w:val="none"/>
              <w:lang w:eastAsia="zh-CN"/>
            </w:rPr>
            <w:t>方案</w:t>
          </w:r>
          <w:r>
            <w:rPr>
              <w:sz w:val="28"/>
              <w:szCs w:val="28"/>
            </w:rPr>
            <w:tab/>
          </w:r>
          <w:r>
            <w:rPr>
              <w:sz w:val="28"/>
              <w:szCs w:val="28"/>
            </w:rPr>
            <w:fldChar w:fldCharType="begin"/>
          </w:r>
          <w:r>
            <w:rPr>
              <w:sz w:val="28"/>
              <w:szCs w:val="28"/>
            </w:rPr>
            <w:instrText xml:space="preserve"> PAGEREF _Toc23620 </w:instrText>
          </w:r>
          <w:r>
            <w:rPr>
              <w:sz w:val="28"/>
              <w:szCs w:val="28"/>
            </w:rPr>
            <w:fldChar w:fldCharType="separate"/>
          </w:r>
          <w:r>
            <w:rPr>
              <w:sz w:val="28"/>
              <w:szCs w:val="28"/>
            </w:rPr>
            <w:t>15</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_Toc14358 </w:instrText>
          </w:r>
          <w:r>
            <w:rPr>
              <w:rFonts w:hint="eastAsia" w:ascii="宋体" w:hAnsi="宋体"/>
              <w:bCs/>
              <w:sz w:val="28"/>
              <w:szCs w:val="28"/>
              <w:lang w:eastAsia="zh-CN"/>
            </w:rPr>
            <w:fldChar w:fldCharType="separate"/>
          </w:r>
          <w:r>
            <w:rPr>
              <w:rFonts w:hint="eastAsia" w:ascii="宋体" w:hAnsi="宋体"/>
              <w:sz w:val="28"/>
              <w:szCs w:val="28"/>
            </w:rPr>
            <w:t>（三）</w:t>
          </w:r>
          <w:r>
            <w:rPr>
              <w:rFonts w:hint="eastAsia" w:ascii="宋体" w:hAnsi="宋体"/>
              <w:sz w:val="28"/>
              <w:szCs w:val="28"/>
              <w:lang w:eastAsia="zh-CN"/>
            </w:rPr>
            <w:t>绩效评价框架</w:t>
          </w:r>
          <w:r>
            <w:rPr>
              <w:sz w:val="28"/>
              <w:szCs w:val="28"/>
            </w:rPr>
            <w:tab/>
          </w:r>
          <w:r>
            <w:rPr>
              <w:sz w:val="28"/>
              <w:szCs w:val="28"/>
            </w:rPr>
            <w:fldChar w:fldCharType="begin"/>
          </w:r>
          <w:r>
            <w:rPr>
              <w:sz w:val="28"/>
              <w:szCs w:val="28"/>
            </w:rPr>
            <w:instrText xml:space="preserve"> PAGEREF _Toc14358 </w:instrText>
          </w:r>
          <w:r>
            <w:rPr>
              <w:sz w:val="28"/>
              <w:szCs w:val="28"/>
            </w:rPr>
            <w:fldChar w:fldCharType="separate"/>
          </w:r>
          <w:r>
            <w:rPr>
              <w:sz w:val="28"/>
              <w:szCs w:val="28"/>
            </w:rPr>
            <w:t>15</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_Toc27499 </w:instrText>
          </w:r>
          <w:r>
            <w:rPr>
              <w:rFonts w:hint="eastAsia" w:ascii="宋体" w:hAnsi="宋体"/>
              <w:bCs/>
              <w:sz w:val="28"/>
              <w:szCs w:val="28"/>
              <w:lang w:eastAsia="zh-CN"/>
            </w:rPr>
            <w:fldChar w:fldCharType="separate"/>
          </w:r>
          <w:r>
            <w:rPr>
              <w:rFonts w:hint="eastAsia" w:ascii="宋体" w:hAnsi="宋体"/>
              <w:sz w:val="28"/>
              <w:szCs w:val="28"/>
              <w:lang w:val="en-US" w:eastAsia="zh-CN"/>
            </w:rPr>
            <w:t>1、</w:t>
          </w:r>
          <w:r>
            <w:rPr>
              <w:rFonts w:hint="eastAsia" w:ascii="宋体" w:hAnsi="宋体"/>
              <w:sz w:val="28"/>
              <w:szCs w:val="28"/>
            </w:rPr>
            <w:t>评价原则</w:t>
          </w:r>
          <w:r>
            <w:rPr>
              <w:sz w:val="28"/>
              <w:szCs w:val="28"/>
            </w:rPr>
            <w:tab/>
          </w:r>
          <w:r>
            <w:rPr>
              <w:sz w:val="28"/>
              <w:szCs w:val="28"/>
            </w:rPr>
            <w:fldChar w:fldCharType="begin"/>
          </w:r>
          <w:r>
            <w:rPr>
              <w:sz w:val="28"/>
              <w:szCs w:val="28"/>
            </w:rPr>
            <w:instrText xml:space="preserve"> PAGEREF _Toc27499 </w:instrText>
          </w:r>
          <w:r>
            <w:rPr>
              <w:sz w:val="28"/>
              <w:szCs w:val="28"/>
            </w:rPr>
            <w:fldChar w:fldCharType="separate"/>
          </w:r>
          <w:r>
            <w:rPr>
              <w:sz w:val="28"/>
              <w:szCs w:val="28"/>
            </w:rPr>
            <w:t>15</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_Toc14845 </w:instrText>
          </w:r>
          <w:r>
            <w:rPr>
              <w:rFonts w:hint="eastAsia" w:ascii="宋体" w:hAnsi="宋体"/>
              <w:bCs/>
              <w:sz w:val="28"/>
              <w:szCs w:val="28"/>
              <w:lang w:eastAsia="zh-CN"/>
            </w:rPr>
            <w:fldChar w:fldCharType="separate"/>
          </w:r>
          <w:r>
            <w:rPr>
              <w:rFonts w:hint="eastAsia" w:ascii="宋体" w:hAnsi="宋体"/>
              <w:sz w:val="28"/>
              <w:szCs w:val="28"/>
              <w:lang w:val="en-US" w:eastAsia="zh-CN"/>
            </w:rPr>
            <w:t>2、</w:t>
          </w:r>
          <w:r>
            <w:rPr>
              <w:rFonts w:hint="eastAsia" w:ascii="宋体" w:hAnsi="宋体"/>
              <w:sz w:val="28"/>
              <w:szCs w:val="28"/>
            </w:rPr>
            <w:t>评价</w:t>
          </w:r>
          <w:r>
            <w:rPr>
              <w:rFonts w:hint="eastAsia" w:ascii="宋体" w:hAnsi="宋体"/>
              <w:sz w:val="28"/>
              <w:szCs w:val="28"/>
              <w:lang w:eastAsia="zh-CN"/>
            </w:rPr>
            <w:t>指标体系</w:t>
          </w:r>
          <w:r>
            <w:rPr>
              <w:sz w:val="28"/>
              <w:szCs w:val="28"/>
            </w:rPr>
            <w:tab/>
          </w:r>
          <w:r>
            <w:rPr>
              <w:sz w:val="28"/>
              <w:szCs w:val="28"/>
            </w:rPr>
            <w:fldChar w:fldCharType="begin"/>
          </w:r>
          <w:r>
            <w:rPr>
              <w:sz w:val="28"/>
              <w:szCs w:val="28"/>
            </w:rPr>
            <w:instrText xml:space="preserve"> PAGEREF _Toc14845 </w:instrText>
          </w:r>
          <w:r>
            <w:rPr>
              <w:sz w:val="28"/>
              <w:szCs w:val="28"/>
            </w:rPr>
            <w:fldChar w:fldCharType="separate"/>
          </w:r>
          <w:r>
            <w:rPr>
              <w:sz w:val="28"/>
              <w:szCs w:val="28"/>
            </w:rPr>
            <w:t>16</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_Toc7622 </w:instrText>
          </w:r>
          <w:r>
            <w:rPr>
              <w:rFonts w:hint="eastAsia" w:ascii="宋体" w:hAnsi="宋体"/>
              <w:bCs/>
              <w:sz w:val="28"/>
              <w:szCs w:val="28"/>
              <w:lang w:eastAsia="zh-CN"/>
            </w:rPr>
            <w:fldChar w:fldCharType="separate"/>
          </w:r>
          <w:r>
            <w:rPr>
              <w:rFonts w:hint="eastAsia" w:ascii="宋体" w:hAnsi="宋体"/>
              <w:bCs/>
              <w:sz w:val="28"/>
              <w:szCs w:val="28"/>
              <w:lang w:val="en-US" w:eastAsia="zh-CN"/>
            </w:rPr>
            <w:t>3、 绩效标准</w:t>
          </w:r>
          <w:r>
            <w:rPr>
              <w:sz w:val="28"/>
              <w:szCs w:val="28"/>
            </w:rPr>
            <w:tab/>
          </w:r>
          <w:r>
            <w:rPr>
              <w:sz w:val="28"/>
              <w:szCs w:val="28"/>
            </w:rPr>
            <w:fldChar w:fldCharType="begin"/>
          </w:r>
          <w:r>
            <w:rPr>
              <w:sz w:val="28"/>
              <w:szCs w:val="28"/>
            </w:rPr>
            <w:instrText xml:space="preserve"> PAGEREF _Toc7622 </w:instrText>
          </w:r>
          <w:r>
            <w:rPr>
              <w:sz w:val="28"/>
              <w:szCs w:val="28"/>
            </w:rPr>
            <w:fldChar w:fldCharType="separate"/>
          </w:r>
          <w:r>
            <w:rPr>
              <w:sz w:val="28"/>
              <w:szCs w:val="28"/>
            </w:rPr>
            <w:t>17</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_Toc10335 </w:instrText>
          </w:r>
          <w:r>
            <w:rPr>
              <w:rFonts w:hint="eastAsia" w:ascii="宋体" w:hAnsi="宋体"/>
              <w:bCs/>
              <w:sz w:val="28"/>
              <w:szCs w:val="28"/>
              <w:lang w:eastAsia="zh-CN"/>
            </w:rPr>
            <w:fldChar w:fldCharType="separate"/>
          </w:r>
          <w:r>
            <w:rPr>
              <w:rFonts w:hint="eastAsia" w:ascii="宋体" w:hAnsi="宋体"/>
              <w:bCs/>
              <w:sz w:val="28"/>
              <w:szCs w:val="28"/>
              <w:lang w:val="en-US" w:eastAsia="zh-CN"/>
            </w:rPr>
            <w:t>4、评价方法</w:t>
          </w:r>
          <w:r>
            <w:rPr>
              <w:sz w:val="28"/>
              <w:szCs w:val="28"/>
            </w:rPr>
            <w:tab/>
          </w:r>
          <w:r>
            <w:rPr>
              <w:sz w:val="28"/>
              <w:szCs w:val="28"/>
            </w:rPr>
            <w:fldChar w:fldCharType="begin"/>
          </w:r>
          <w:r>
            <w:rPr>
              <w:sz w:val="28"/>
              <w:szCs w:val="28"/>
            </w:rPr>
            <w:instrText xml:space="preserve"> PAGEREF _Toc10335 </w:instrText>
          </w:r>
          <w:r>
            <w:rPr>
              <w:sz w:val="28"/>
              <w:szCs w:val="28"/>
            </w:rPr>
            <w:fldChar w:fldCharType="separate"/>
          </w:r>
          <w:r>
            <w:rPr>
              <w:sz w:val="28"/>
              <w:szCs w:val="28"/>
            </w:rPr>
            <w:t>18</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_Toc14693 </w:instrText>
          </w:r>
          <w:r>
            <w:rPr>
              <w:rFonts w:hint="eastAsia" w:ascii="宋体" w:hAnsi="宋体"/>
              <w:bCs/>
              <w:sz w:val="28"/>
              <w:szCs w:val="28"/>
              <w:lang w:eastAsia="zh-CN"/>
            </w:rPr>
            <w:fldChar w:fldCharType="separate"/>
          </w:r>
          <w:r>
            <w:rPr>
              <w:rFonts w:hint="eastAsia" w:ascii="宋体" w:hAnsi="宋体"/>
              <w:sz w:val="28"/>
              <w:szCs w:val="28"/>
            </w:rPr>
            <w:t>（四）</w:t>
          </w:r>
          <w:r>
            <w:rPr>
              <w:rFonts w:hint="eastAsia" w:ascii="宋体" w:hAnsi="宋体"/>
              <w:sz w:val="28"/>
              <w:szCs w:val="28"/>
              <w:lang w:eastAsia="zh-CN"/>
            </w:rPr>
            <w:t>证据收集方法</w:t>
          </w:r>
          <w:r>
            <w:rPr>
              <w:sz w:val="28"/>
              <w:szCs w:val="28"/>
            </w:rPr>
            <w:tab/>
          </w:r>
          <w:r>
            <w:rPr>
              <w:sz w:val="28"/>
              <w:szCs w:val="28"/>
            </w:rPr>
            <w:fldChar w:fldCharType="begin"/>
          </w:r>
          <w:r>
            <w:rPr>
              <w:sz w:val="28"/>
              <w:szCs w:val="28"/>
            </w:rPr>
            <w:instrText xml:space="preserve"> PAGEREF _Toc14693 </w:instrText>
          </w:r>
          <w:r>
            <w:rPr>
              <w:sz w:val="28"/>
              <w:szCs w:val="28"/>
            </w:rPr>
            <w:fldChar w:fldCharType="separate"/>
          </w:r>
          <w:r>
            <w:rPr>
              <w:sz w:val="28"/>
              <w:szCs w:val="28"/>
            </w:rPr>
            <w:t>18</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_Toc15312 </w:instrText>
          </w:r>
          <w:r>
            <w:rPr>
              <w:rFonts w:hint="eastAsia" w:ascii="宋体" w:hAnsi="宋体"/>
              <w:bCs/>
              <w:sz w:val="28"/>
              <w:szCs w:val="28"/>
              <w:lang w:eastAsia="zh-CN"/>
            </w:rPr>
            <w:fldChar w:fldCharType="separate"/>
          </w:r>
          <w:r>
            <w:rPr>
              <w:rFonts w:hint="eastAsia" w:ascii="宋体" w:hAnsi="宋体"/>
              <w:bCs/>
              <w:sz w:val="28"/>
              <w:szCs w:val="28"/>
              <w:highlight w:val="none"/>
              <w:lang w:val="en-US" w:eastAsia="zh-CN"/>
            </w:rPr>
            <w:t>1、案卷研究</w:t>
          </w:r>
          <w:r>
            <w:rPr>
              <w:sz w:val="28"/>
              <w:szCs w:val="28"/>
            </w:rPr>
            <w:tab/>
          </w:r>
          <w:r>
            <w:rPr>
              <w:sz w:val="28"/>
              <w:szCs w:val="28"/>
            </w:rPr>
            <w:fldChar w:fldCharType="begin"/>
          </w:r>
          <w:r>
            <w:rPr>
              <w:sz w:val="28"/>
              <w:szCs w:val="28"/>
            </w:rPr>
            <w:instrText xml:space="preserve"> PAGEREF _Toc15312 </w:instrText>
          </w:r>
          <w:r>
            <w:rPr>
              <w:sz w:val="28"/>
              <w:szCs w:val="28"/>
            </w:rPr>
            <w:fldChar w:fldCharType="separate"/>
          </w:r>
          <w:r>
            <w:rPr>
              <w:sz w:val="28"/>
              <w:szCs w:val="28"/>
            </w:rPr>
            <w:t>18</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_Toc31818 </w:instrText>
          </w:r>
          <w:r>
            <w:rPr>
              <w:rFonts w:hint="eastAsia" w:ascii="宋体" w:hAnsi="宋体"/>
              <w:bCs/>
              <w:sz w:val="28"/>
              <w:szCs w:val="28"/>
              <w:lang w:eastAsia="zh-CN"/>
            </w:rPr>
            <w:fldChar w:fldCharType="separate"/>
          </w:r>
          <w:r>
            <w:rPr>
              <w:rFonts w:hint="eastAsia" w:ascii="宋体" w:hAnsi="宋体"/>
              <w:bCs/>
              <w:sz w:val="28"/>
              <w:szCs w:val="28"/>
              <w:lang w:val="en-US" w:eastAsia="zh-CN"/>
            </w:rPr>
            <w:t xml:space="preserve">2、 </w:t>
          </w:r>
          <w:r>
            <w:rPr>
              <w:rFonts w:hint="eastAsia" w:ascii="宋体" w:hAnsi="宋体"/>
              <w:bCs/>
              <w:sz w:val="28"/>
              <w:szCs w:val="28"/>
              <w:highlight w:val="none"/>
              <w:lang w:val="en-US" w:eastAsia="zh-CN"/>
            </w:rPr>
            <w:t>问卷调查</w:t>
          </w:r>
          <w:r>
            <w:rPr>
              <w:sz w:val="28"/>
              <w:szCs w:val="28"/>
            </w:rPr>
            <w:tab/>
          </w:r>
          <w:r>
            <w:rPr>
              <w:sz w:val="28"/>
              <w:szCs w:val="28"/>
            </w:rPr>
            <w:fldChar w:fldCharType="begin"/>
          </w:r>
          <w:r>
            <w:rPr>
              <w:sz w:val="28"/>
              <w:szCs w:val="28"/>
            </w:rPr>
            <w:instrText xml:space="preserve"> PAGEREF _Toc31818 </w:instrText>
          </w:r>
          <w:r>
            <w:rPr>
              <w:sz w:val="28"/>
              <w:szCs w:val="28"/>
            </w:rPr>
            <w:fldChar w:fldCharType="separate"/>
          </w:r>
          <w:r>
            <w:rPr>
              <w:sz w:val="28"/>
              <w:szCs w:val="28"/>
            </w:rPr>
            <w:t>18</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_Toc27419 </w:instrText>
          </w:r>
          <w:r>
            <w:rPr>
              <w:rFonts w:hint="eastAsia" w:ascii="宋体" w:hAnsi="宋体"/>
              <w:bCs/>
              <w:sz w:val="28"/>
              <w:szCs w:val="28"/>
              <w:lang w:eastAsia="zh-CN"/>
            </w:rPr>
            <w:fldChar w:fldCharType="separate"/>
          </w:r>
          <w:r>
            <w:rPr>
              <w:rFonts w:hint="eastAsia" w:ascii="宋体" w:hAnsi="宋体"/>
              <w:bCs/>
              <w:sz w:val="28"/>
              <w:szCs w:val="28"/>
              <w:lang w:val="en-US" w:eastAsia="zh-CN"/>
            </w:rPr>
            <w:t xml:space="preserve">3、 </w:t>
          </w:r>
          <w:r>
            <w:rPr>
              <w:rFonts w:hint="eastAsia" w:ascii="宋体" w:hAnsi="宋体"/>
              <w:bCs/>
              <w:sz w:val="28"/>
              <w:szCs w:val="28"/>
              <w:highlight w:val="none"/>
              <w:lang w:val="en-US" w:eastAsia="zh-CN"/>
            </w:rPr>
            <w:t>访谈</w:t>
          </w:r>
          <w:r>
            <w:rPr>
              <w:sz w:val="28"/>
              <w:szCs w:val="28"/>
            </w:rPr>
            <w:tab/>
          </w:r>
          <w:r>
            <w:rPr>
              <w:sz w:val="28"/>
              <w:szCs w:val="28"/>
            </w:rPr>
            <w:fldChar w:fldCharType="begin"/>
          </w:r>
          <w:r>
            <w:rPr>
              <w:sz w:val="28"/>
              <w:szCs w:val="28"/>
            </w:rPr>
            <w:instrText xml:space="preserve"> PAGEREF _Toc27419 </w:instrText>
          </w:r>
          <w:r>
            <w:rPr>
              <w:sz w:val="28"/>
              <w:szCs w:val="28"/>
            </w:rPr>
            <w:fldChar w:fldCharType="separate"/>
          </w:r>
          <w:r>
            <w:rPr>
              <w:sz w:val="28"/>
              <w:szCs w:val="28"/>
            </w:rPr>
            <w:t>18</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_Toc14235 </w:instrText>
          </w:r>
          <w:r>
            <w:rPr>
              <w:rFonts w:hint="eastAsia" w:ascii="宋体" w:hAnsi="宋体"/>
              <w:bCs/>
              <w:sz w:val="28"/>
              <w:szCs w:val="28"/>
              <w:lang w:eastAsia="zh-CN"/>
            </w:rPr>
            <w:fldChar w:fldCharType="separate"/>
          </w:r>
          <w:r>
            <w:rPr>
              <w:rFonts w:hint="eastAsia" w:ascii="宋体" w:hAnsi="宋体"/>
              <w:bCs/>
              <w:sz w:val="28"/>
              <w:szCs w:val="28"/>
              <w:highlight w:val="none"/>
              <w:lang w:val="en-US" w:eastAsia="zh-CN"/>
            </w:rPr>
            <w:t>4、座谈会</w:t>
          </w:r>
          <w:r>
            <w:rPr>
              <w:sz w:val="28"/>
              <w:szCs w:val="28"/>
            </w:rPr>
            <w:tab/>
          </w:r>
          <w:r>
            <w:rPr>
              <w:sz w:val="28"/>
              <w:szCs w:val="28"/>
            </w:rPr>
            <w:fldChar w:fldCharType="begin"/>
          </w:r>
          <w:r>
            <w:rPr>
              <w:sz w:val="28"/>
              <w:szCs w:val="28"/>
            </w:rPr>
            <w:instrText xml:space="preserve"> PAGEREF _Toc14235 </w:instrText>
          </w:r>
          <w:r>
            <w:rPr>
              <w:sz w:val="28"/>
              <w:szCs w:val="28"/>
            </w:rPr>
            <w:fldChar w:fldCharType="separate"/>
          </w:r>
          <w:r>
            <w:rPr>
              <w:sz w:val="28"/>
              <w:szCs w:val="28"/>
            </w:rPr>
            <w:t>19</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_Toc18991 </w:instrText>
          </w:r>
          <w:r>
            <w:rPr>
              <w:rFonts w:hint="eastAsia" w:ascii="宋体" w:hAnsi="宋体"/>
              <w:bCs/>
              <w:sz w:val="28"/>
              <w:szCs w:val="28"/>
              <w:lang w:eastAsia="zh-CN"/>
            </w:rPr>
            <w:fldChar w:fldCharType="separate"/>
          </w:r>
          <w:r>
            <w:rPr>
              <w:rFonts w:hint="eastAsia" w:ascii="宋体" w:hAnsi="宋体"/>
              <w:bCs/>
              <w:sz w:val="28"/>
              <w:szCs w:val="28"/>
              <w:highlight w:val="none"/>
              <w:lang w:val="en-US" w:eastAsia="zh-CN"/>
            </w:rPr>
            <w:t>5、电子邮箱</w:t>
          </w:r>
          <w:r>
            <w:rPr>
              <w:sz w:val="28"/>
              <w:szCs w:val="28"/>
            </w:rPr>
            <w:tab/>
          </w:r>
          <w:r>
            <w:rPr>
              <w:sz w:val="28"/>
              <w:szCs w:val="28"/>
            </w:rPr>
            <w:fldChar w:fldCharType="begin"/>
          </w:r>
          <w:r>
            <w:rPr>
              <w:sz w:val="28"/>
              <w:szCs w:val="28"/>
            </w:rPr>
            <w:instrText xml:space="preserve"> PAGEREF _Toc18991 </w:instrText>
          </w:r>
          <w:r>
            <w:rPr>
              <w:sz w:val="28"/>
              <w:szCs w:val="28"/>
            </w:rPr>
            <w:fldChar w:fldCharType="separate"/>
          </w:r>
          <w:r>
            <w:rPr>
              <w:sz w:val="28"/>
              <w:szCs w:val="28"/>
            </w:rPr>
            <w:t>19</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_Toc8551 </w:instrText>
          </w:r>
          <w:r>
            <w:rPr>
              <w:rFonts w:hint="eastAsia" w:ascii="宋体" w:hAnsi="宋体"/>
              <w:bCs/>
              <w:sz w:val="28"/>
              <w:szCs w:val="28"/>
              <w:lang w:eastAsia="zh-CN"/>
            </w:rPr>
            <w:fldChar w:fldCharType="separate"/>
          </w:r>
          <w:r>
            <w:rPr>
              <w:rFonts w:hint="eastAsia" w:ascii="宋体" w:hAnsi="宋体"/>
              <w:sz w:val="28"/>
              <w:szCs w:val="28"/>
            </w:rPr>
            <w:t>（五）</w:t>
          </w:r>
          <w:r>
            <w:rPr>
              <w:rFonts w:hint="eastAsia" w:ascii="宋体" w:hAnsi="宋体"/>
              <w:sz w:val="28"/>
              <w:szCs w:val="28"/>
              <w:lang w:eastAsia="zh-CN"/>
            </w:rPr>
            <w:t>绩效评价实施过程</w:t>
          </w:r>
          <w:r>
            <w:rPr>
              <w:sz w:val="28"/>
              <w:szCs w:val="28"/>
            </w:rPr>
            <w:tab/>
          </w:r>
          <w:r>
            <w:rPr>
              <w:sz w:val="28"/>
              <w:szCs w:val="28"/>
            </w:rPr>
            <w:fldChar w:fldCharType="begin"/>
          </w:r>
          <w:r>
            <w:rPr>
              <w:sz w:val="28"/>
              <w:szCs w:val="28"/>
            </w:rPr>
            <w:instrText xml:space="preserve"> PAGEREF _Toc8551 </w:instrText>
          </w:r>
          <w:r>
            <w:rPr>
              <w:sz w:val="28"/>
              <w:szCs w:val="28"/>
            </w:rPr>
            <w:fldChar w:fldCharType="separate"/>
          </w:r>
          <w:r>
            <w:rPr>
              <w:sz w:val="28"/>
              <w:szCs w:val="28"/>
            </w:rPr>
            <w:t>19</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_Toc18772 </w:instrText>
          </w:r>
          <w:r>
            <w:rPr>
              <w:rFonts w:hint="eastAsia" w:ascii="宋体" w:hAnsi="宋体"/>
              <w:bCs/>
              <w:sz w:val="28"/>
              <w:szCs w:val="28"/>
              <w:lang w:eastAsia="zh-CN"/>
            </w:rPr>
            <w:fldChar w:fldCharType="separate"/>
          </w:r>
          <w:r>
            <w:rPr>
              <w:rFonts w:hint="eastAsia" w:ascii="宋体" w:hAnsi="宋体"/>
              <w:bCs w:val="0"/>
              <w:sz w:val="28"/>
              <w:szCs w:val="28"/>
              <w:lang w:eastAsia="zh-CN"/>
            </w:rPr>
            <w:t xml:space="preserve">（六） </w:t>
          </w:r>
          <w:r>
            <w:rPr>
              <w:rFonts w:hint="eastAsia" w:ascii="宋体" w:hAnsi="宋体"/>
              <w:bCs w:val="0"/>
              <w:sz w:val="28"/>
              <w:szCs w:val="28"/>
              <w:highlight w:val="none"/>
              <w:lang w:eastAsia="zh-CN"/>
            </w:rPr>
            <w:t>本次绩效评价的局限性</w:t>
          </w:r>
          <w:r>
            <w:rPr>
              <w:sz w:val="28"/>
              <w:szCs w:val="28"/>
            </w:rPr>
            <w:tab/>
          </w:r>
          <w:r>
            <w:rPr>
              <w:sz w:val="28"/>
              <w:szCs w:val="28"/>
            </w:rPr>
            <w:fldChar w:fldCharType="begin"/>
          </w:r>
          <w:r>
            <w:rPr>
              <w:sz w:val="28"/>
              <w:szCs w:val="28"/>
            </w:rPr>
            <w:instrText xml:space="preserve"> PAGEREF _Toc18772 </w:instrText>
          </w:r>
          <w:r>
            <w:rPr>
              <w:sz w:val="28"/>
              <w:szCs w:val="28"/>
            </w:rPr>
            <w:fldChar w:fldCharType="separate"/>
          </w:r>
          <w:r>
            <w:rPr>
              <w:sz w:val="28"/>
              <w:szCs w:val="28"/>
            </w:rPr>
            <w:t>20</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_Toc31103 </w:instrText>
          </w:r>
          <w:r>
            <w:rPr>
              <w:rFonts w:hint="eastAsia" w:ascii="宋体" w:hAnsi="宋体"/>
              <w:bCs/>
              <w:sz w:val="28"/>
              <w:szCs w:val="28"/>
              <w:lang w:eastAsia="zh-CN"/>
            </w:rPr>
            <w:fldChar w:fldCharType="separate"/>
          </w:r>
          <w:r>
            <w:rPr>
              <w:rFonts w:hint="eastAsia" w:ascii="宋体" w:hAnsi="宋体"/>
              <w:sz w:val="28"/>
              <w:szCs w:val="28"/>
            </w:rPr>
            <w:t>三、</w:t>
          </w:r>
          <w:r>
            <w:rPr>
              <w:rFonts w:hint="eastAsia" w:ascii="宋体" w:hAnsi="宋体"/>
              <w:sz w:val="28"/>
              <w:szCs w:val="28"/>
              <w:lang w:eastAsia="zh-CN"/>
            </w:rPr>
            <w:t>绩效分析及评价结论</w:t>
          </w:r>
          <w:r>
            <w:rPr>
              <w:sz w:val="28"/>
              <w:szCs w:val="28"/>
            </w:rPr>
            <w:tab/>
          </w:r>
          <w:r>
            <w:rPr>
              <w:sz w:val="28"/>
              <w:szCs w:val="28"/>
            </w:rPr>
            <w:fldChar w:fldCharType="begin"/>
          </w:r>
          <w:r>
            <w:rPr>
              <w:sz w:val="28"/>
              <w:szCs w:val="28"/>
            </w:rPr>
            <w:instrText xml:space="preserve"> PAGEREF _Toc31103 </w:instrText>
          </w:r>
          <w:r>
            <w:rPr>
              <w:sz w:val="28"/>
              <w:szCs w:val="28"/>
            </w:rPr>
            <w:fldChar w:fldCharType="separate"/>
          </w:r>
          <w:r>
            <w:rPr>
              <w:sz w:val="28"/>
              <w:szCs w:val="28"/>
            </w:rPr>
            <w:t>20</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_Toc7960 </w:instrText>
          </w:r>
          <w:r>
            <w:rPr>
              <w:rFonts w:hint="eastAsia" w:ascii="宋体" w:hAnsi="宋体"/>
              <w:bCs/>
              <w:sz w:val="28"/>
              <w:szCs w:val="28"/>
              <w:lang w:eastAsia="zh-CN"/>
            </w:rPr>
            <w:fldChar w:fldCharType="separate"/>
          </w:r>
          <w:r>
            <w:rPr>
              <w:rFonts w:hint="eastAsia" w:ascii="宋体" w:hAnsi="宋体"/>
              <w:sz w:val="28"/>
              <w:szCs w:val="28"/>
            </w:rPr>
            <w:t>（一）绩效</w:t>
          </w:r>
          <w:r>
            <w:rPr>
              <w:rFonts w:hint="eastAsia" w:ascii="宋体" w:hAnsi="宋体"/>
              <w:sz w:val="28"/>
              <w:szCs w:val="28"/>
              <w:lang w:eastAsia="zh-CN"/>
            </w:rPr>
            <w:t>分析</w:t>
          </w:r>
          <w:r>
            <w:rPr>
              <w:sz w:val="28"/>
              <w:szCs w:val="28"/>
            </w:rPr>
            <w:tab/>
          </w:r>
          <w:r>
            <w:rPr>
              <w:sz w:val="28"/>
              <w:szCs w:val="28"/>
            </w:rPr>
            <w:fldChar w:fldCharType="begin"/>
          </w:r>
          <w:r>
            <w:rPr>
              <w:sz w:val="28"/>
              <w:szCs w:val="28"/>
            </w:rPr>
            <w:instrText xml:space="preserve"> PAGEREF _Toc7960 </w:instrText>
          </w:r>
          <w:r>
            <w:rPr>
              <w:sz w:val="28"/>
              <w:szCs w:val="28"/>
            </w:rPr>
            <w:fldChar w:fldCharType="separate"/>
          </w:r>
          <w:r>
            <w:rPr>
              <w:sz w:val="28"/>
              <w:szCs w:val="28"/>
            </w:rPr>
            <w:t>20</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_Toc16949 </w:instrText>
          </w:r>
          <w:r>
            <w:rPr>
              <w:rFonts w:hint="eastAsia" w:ascii="宋体" w:hAnsi="宋体"/>
              <w:bCs/>
              <w:sz w:val="28"/>
              <w:szCs w:val="28"/>
              <w:lang w:eastAsia="zh-CN"/>
            </w:rPr>
            <w:fldChar w:fldCharType="separate"/>
          </w:r>
          <w:r>
            <w:rPr>
              <w:rFonts w:hint="eastAsia" w:ascii="宋体" w:hAnsi="宋体"/>
              <w:sz w:val="28"/>
              <w:szCs w:val="28"/>
              <w:lang w:val="en-US" w:eastAsia="zh-CN"/>
            </w:rPr>
            <w:t>1、投入</w:t>
          </w:r>
          <w:r>
            <w:rPr>
              <w:sz w:val="28"/>
              <w:szCs w:val="28"/>
            </w:rPr>
            <w:tab/>
          </w:r>
          <w:r>
            <w:rPr>
              <w:sz w:val="28"/>
              <w:szCs w:val="28"/>
            </w:rPr>
            <w:fldChar w:fldCharType="begin"/>
          </w:r>
          <w:r>
            <w:rPr>
              <w:sz w:val="28"/>
              <w:szCs w:val="28"/>
            </w:rPr>
            <w:instrText xml:space="preserve"> PAGEREF _Toc16949 </w:instrText>
          </w:r>
          <w:r>
            <w:rPr>
              <w:sz w:val="28"/>
              <w:szCs w:val="28"/>
            </w:rPr>
            <w:fldChar w:fldCharType="separate"/>
          </w:r>
          <w:r>
            <w:rPr>
              <w:sz w:val="28"/>
              <w:szCs w:val="28"/>
            </w:rPr>
            <w:t>20</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_Toc14997 </w:instrText>
          </w:r>
          <w:r>
            <w:rPr>
              <w:rFonts w:hint="eastAsia" w:ascii="宋体" w:hAnsi="宋体"/>
              <w:bCs/>
              <w:sz w:val="28"/>
              <w:szCs w:val="28"/>
              <w:lang w:eastAsia="zh-CN"/>
            </w:rPr>
            <w:fldChar w:fldCharType="separate"/>
          </w:r>
          <w:r>
            <w:rPr>
              <w:rFonts w:hint="eastAsia" w:ascii="宋体" w:hAnsi="宋体"/>
              <w:sz w:val="28"/>
              <w:szCs w:val="28"/>
              <w:lang w:val="en-US" w:eastAsia="zh-CN"/>
            </w:rPr>
            <w:t>2、 过程</w:t>
          </w:r>
          <w:r>
            <w:rPr>
              <w:sz w:val="28"/>
              <w:szCs w:val="28"/>
            </w:rPr>
            <w:tab/>
          </w:r>
          <w:r>
            <w:rPr>
              <w:sz w:val="28"/>
              <w:szCs w:val="28"/>
            </w:rPr>
            <w:fldChar w:fldCharType="begin"/>
          </w:r>
          <w:r>
            <w:rPr>
              <w:sz w:val="28"/>
              <w:szCs w:val="28"/>
            </w:rPr>
            <w:instrText xml:space="preserve"> PAGEREF _Toc14997 </w:instrText>
          </w:r>
          <w:r>
            <w:rPr>
              <w:sz w:val="28"/>
              <w:szCs w:val="28"/>
            </w:rPr>
            <w:fldChar w:fldCharType="separate"/>
          </w:r>
          <w:r>
            <w:rPr>
              <w:sz w:val="28"/>
              <w:szCs w:val="28"/>
            </w:rPr>
            <w:t>21</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_Toc5122 </w:instrText>
          </w:r>
          <w:r>
            <w:rPr>
              <w:rFonts w:hint="eastAsia" w:ascii="宋体" w:hAnsi="宋体"/>
              <w:bCs/>
              <w:sz w:val="28"/>
              <w:szCs w:val="28"/>
              <w:lang w:eastAsia="zh-CN"/>
            </w:rPr>
            <w:fldChar w:fldCharType="separate"/>
          </w:r>
          <w:r>
            <w:rPr>
              <w:rFonts w:hint="eastAsia" w:ascii="宋体" w:hAnsi="宋体"/>
              <w:sz w:val="28"/>
              <w:szCs w:val="28"/>
              <w:lang w:val="en-US" w:eastAsia="zh-CN"/>
            </w:rPr>
            <w:t>3、 产出</w:t>
          </w:r>
          <w:r>
            <w:rPr>
              <w:sz w:val="28"/>
              <w:szCs w:val="28"/>
            </w:rPr>
            <w:tab/>
          </w:r>
          <w:r>
            <w:rPr>
              <w:sz w:val="28"/>
              <w:szCs w:val="28"/>
            </w:rPr>
            <w:fldChar w:fldCharType="begin"/>
          </w:r>
          <w:r>
            <w:rPr>
              <w:sz w:val="28"/>
              <w:szCs w:val="28"/>
            </w:rPr>
            <w:instrText xml:space="preserve"> PAGEREF _Toc5122 </w:instrText>
          </w:r>
          <w:r>
            <w:rPr>
              <w:sz w:val="28"/>
              <w:szCs w:val="28"/>
            </w:rPr>
            <w:fldChar w:fldCharType="separate"/>
          </w:r>
          <w:r>
            <w:rPr>
              <w:sz w:val="28"/>
              <w:szCs w:val="28"/>
            </w:rPr>
            <w:t>21</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_Toc18689 </w:instrText>
          </w:r>
          <w:r>
            <w:rPr>
              <w:rFonts w:hint="eastAsia" w:ascii="宋体" w:hAnsi="宋体"/>
              <w:bCs/>
              <w:sz w:val="28"/>
              <w:szCs w:val="28"/>
              <w:lang w:eastAsia="zh-CN"/>
            </w:rPr>
            <w:fldChar w:fldCharType="separate"/>
          </w:r>
          <w:r>
            <w:rPr>
              <w:rFonts w:hint="eastAsia" w:ascii="宋体" w:hAnsi="宋体"/>
              <w:sz w:val="28"/>
              <w:szCs w:val="28"/>
              <w:lang w:val="en-US" w:eastAsia="zh-CN"/>
            </w:rPr>
            <w:t>4、 效果</w:t>
          </w:r>
          <w:r>
            <w:rPr>
              <w:sz w:val="28"/>
              <w:szCs w:val="28"/>
            </w:rPr>
            <w:tab/>
          </w:r>
          <w:r>
            <w:rPr>
              <w:sz w:val="28"/>
              <w:szCs w:val="28"/>
            </w:rPr>
            <w:fldChar w:fldCharType="begin"/>
          </w:r>
          <w:r>
            <w:rPr>
              <w:sz w:val="28"/>
              <w:szCs w:val="28"/>
            </w:rPr>
            <w:instrText xml:space="preserve"> PAGEREF _Toc18689 </w:instrText>
          </w:r>
          <w:r>
            <w:rPr>
              <w:sz w:val="28"/>
              <w:szCs w:val="28"/>
            </w:rPr>
            <w:fldChar w:fldCharType="separate"/>
          </w:r>
          <w:r>
            <w:rPr>
              <w:sz w:val="28"/>
              <w:szCs w:val="28"/>
            </w:rPr>
            <w:t>22</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_Toc2911 </w:instrText>
          </w:r>
          <w:r>
            <w:rPr>
              <w:rFonts w:hint="eastAsia" w:ascii="宋体" w:hAnsi="宋体"/>
              <w:bCs/>
              <w:sz w:val="28"/>
              <w:szCs w:val="28"/>
              <w:lang w:eastAsia="zh-CN"/>
            </w:rPr>
            <w:fldChar w:fldCharType="separate"/>
          </w:r>
          <w:r>
            <w:rPr>
              <w:rFonts w:hint="eastAsia" w:ascii="宋体" w:hAnsi="宋体"/>
              <w:sz w:val="28"/>
              <w:szCs w:val="28"/>
              <w:lang w:val="en-US" w:eastAsia="zh-CN"/>
            </w:rPr>
            <w:t>5、 绩效目标完成情况分析</w:t>
          </w:r>
          <w:r>
            <w:rPr>
              <w:sz w:val="28"/>
              <w:szCs w:val="28"/>
            </w:rPr>
            <w:tab/>
          </w:r>
          <w:r>
            <w:rPr>
              <w:sz w:val="28"/>
              <w:szCs w:val="28"/>
            </w:rPr>
            <w:fldChar w:fldCharType="begin"/>
          </w:r>
          <w:r>
            <w:rPr>
              <w:sz w:val="28"/>
              <w:szCs w:val="28"/>
            </w:rPr>
            <w:instrText xml:space="preserve"> PAGEREF _Toc2911 </w:instrText>
          </w:r>
          <w:r>
            <w:rPr>
              <w:sz w:val="28"/>
              <w:szCs w:val="28"/>
            </w:rPr>
            <w:fldChar w:fldCharType="separate"/>
          </w:r>
          <w:r>
            <w:rPr>
              <w:sz w:val="28"/>
              <w:szCs w:val="28"/>
            </w:rPr>
            <w:t>22</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_Toc28840 </w:instrText>
          </w:r>
          <w:r>
            <w:rPr>
              <w:rFonts w:hint="eastAsia" w:ascii="宋体" w:hAnsi="宋体"/>
              <w:bCs/>
              <w:sz w:val="28"/>
              <w:szCs w:val="28"/>
              <w:lang w:eastAsia="zh-CN"/>
            </w:rPr>
            <w:fldChar w:fldCharType="separate"/>
          </w:r>
          <w:r>
            <w:rPr>
              <w:rFonts w:hint="eastAsia" w:ascii="宋体" w:hAnsi="宋体"/>
              <w:bCs/>
              <w:sz w:val="28"/>
              <w:szCs w:val="28"/>
            </w:rPr>
            <w:t>（二）</w:t>
          </w:r>
          <w:r>
            <w:rPr>
              <w:rFonts w:hint="eastAsia" w:ascii="宋体" w:hAnsi="宋体"/>
              <w:bCs/>
              <w:sz w:val="28"/>
              <w:szCs w:val="28"/>
              <w:lang w:eastAsia="zh-CN"/>
            </w:rPr>
            <w:t>评价结论</w:t>
          </w:r>
          <w:r>
            <w:rPr>
              <w:sz w:val="28"/>
              <w:szCs w:val="28"/>
            </w:rPr>
            <w:tab/>
          </w:r>
          <w:r>
            <w:rPr>
              <w:sz w:val="28"/>
              <w:szCs w:val="28"/>
            </w:rPr>
            <w:fldChar w:fldCharType="begin"/>
          </w:r>
          <w:r>
            <w:rPr>
              <w:sz w:val="28"/>
              <w:szCs w:val="28"/>
            </w:rPr>
            <w:instrText xml:space="preserve"> PAGEREF _Toc28840 </w:instrText>
          </w:r>
          <w:r>
            <w:rPr>
              <w:sz w:val="28"/>
              <w:szCs w:val="28"/>
            </w:rPr>
            <w:fldChar w:fldCharType="separate"/>
          </w:r>
          <w:r>
            <w:rPr>
              <w:sz w:val="28"/>
              <w:szCs w:val="28"/>
            </w:rPr>
            <w:t>23</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_Toc2640 </w:instrText>
          </w:r>
          <w:r>
            <w:rPr>
              <w:rFonts w:hint="eastAsia" w:ascii="宋体" w:hAnsi="宋体"/>
              <w:bCs/>
              <w:sz w:val="28"/>
              <w:szCs w:val="28"/>
              <w:lang w:eastAsia="zh-CN"/>
            </w:rPr>
            <w:fldChar w:fldCharType="separate"/>
          </w:r>
          <w:r>
            <w:rPr>
              <w:rFonts w:hint="eastAsia" w:ascii="宋体" w:hAnsi="宋体"/>
              <w:sz w:val="28"/>
              <w:szCs w:val="28"/>
              <w:lang w:eastAsia="zh-CN"/>
            </w:rPr>
            <w:t>四、主要经验及做法、存在的问题和建议</w:t>
          </w:r>
          <w:r>
            <w:rPr>
              <w:sz w:val="28"/>
              <w:szCs w:val="28"/>
            </w:rPr>
            <w:tab/>
          </w:r>
          <w:r>
            <w:rPr>
              <w:sz w:val="28"/>
              <w:szCs w:val="28"/>
            </w:rPr>
            <w:fldChar w:fldCharType="begin"/>
          </w:r>
          <w:r>
            <w:rPr>
              <w:sz w:val="28"/>
              <w:szCs w:val="28"/>
            </w:rPr>
            <w:instrText xml:space="preserve"> PAGEREF _Toc2640 </w:instrText>
          </w:r>
          <w:r>
            <w:rPr>
              <w:sz w:val="28"/>
              <w:szCs w:val="28"/>
            </w:rPr>
            <w:fldChar w:fldCharType="separate"/>
          </w:r>
          <w:r>
            <w:rPr>
              <w:sz w:val="28"/>
              <w:szCs w:val="28"/>
            </w:rPr>
            <w:t>26</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_Toc13502 </w:instrText>
          </w:r>
          <w:r>
            <w:rPr>
              <w:rFonts w:hint="eastAsia" w:ascii="宋体" w:hAnsi="宋体"/>
              <w:bCs/>
              <w:sz w:val="28"/>
              <w:szCs w:val="28"/>
              <w:lang w:eastAsia="zh-CN"/>
            </w:rPr>
            <w:fldChar w:fldCharType="separate"/>
          </w:r>
          <w:r>
            <w:rPr>
              <w:rFonts w:hint="eastAsia" w:ascii="宋体" w:hAnsi="宋体"/>
              <w:sz w:val="28"/>
              <w:szCs w:val="28"/>
              <w:lang w:eastAsia="zh-CN"/>
            </w:rPr>
            <w:t>（一）主要经验及做法</w:t>
          </w:r>
          <w:r>
            <w:rPr>
              <w:sz w:val="28"/>
              <w:szCs w:val="28"/>
            </w:rPr>
            <w:tab/>
          </w:r>
          <w:r>
            <w:rPr>
              <w:sz w:val="28"/>
              <w:szCs w:val="28"/>
            </w:rPr>
            <w:fldChar w:fldCharType="begin"/>
          </w:r>
          <w:r>
            <w:rPr>
              <w:sz w:val="28"/>
              <w:szCs w:val="28"/>
            </w:rPr>
            <w:instrText xml:space="preserve"> PAGEREF _Toc13502 </w:instrText>
          </w:r>
          <w:r>
            <w:rPr>
              <w:sz w:val="28"/>
              <w:szCs w:val="28"/>
            </w:rPr>
            <w:fldChar w:fldCharType="separate"/>
          </w:r>
          <w:r>
            <w:rPr>
              <w:sz w:val="28"/>
              <w:szCs w:val="28"/>
            </w:rPr>
            <w:t>26</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_Toc4985 </w:instrText>
          </w:r>
          <w:r>
            <w:rPr>
              <w:rFonts w:hint="eastAsia" w:ascii="宋体" w:hAnsi="宋体"/>
              <w:bCs/>
              <w:sz w:val="28"/>
              <w:szCs w:val="28"/>
              <w:lang w:eastAsia="zh-CN"/>
            </w:rPr>
            <w:fldChar w:fldCharType="separate"/>
          </w:r>
          <w:r>
            <w:rPr>
              <w:rFonts w:hint="eastAsia"/>
              <w:bCs/>
              <w:sz w:val="28"/>
              <w:szCs w:val="28"/>
              <w:shd w:val="clear" w:color="auto" w:fill="auto"/>
              <w:lang w:val="en-US" w:eastAsia="zh-CN"/>
            </w:rPr>
            <w:t>（二）</w:t>
          </w:r>
          <w:r>
            <w:rPr>
              <w:rFonts w:hint="eastAsia" w:ascii="宋体" w:hAnsi="宋体"/>
              <w:bCs/>
              <w:sz w:val="28"/>
              <w:szCs w:val="28"/>
              <w:lang w:eastAsia="zh-CN"/>
            </w:rPr>
            <w:t>存在</w:t>
          </w:r>
          <w:r>
            <w:rPr>
              <w:rFonts w:hint="eastAsia" w:ascii="宋体" w:hAnsi="宋体"/>
              <w:sz w:val="28"/>
              <w:szCs w:val="28"/>
              <w:lang w:eastAsia="zh-CN"/>
            </w:rPr>
            <w:t>的问题</w:t>
          </w:r>
          <w:r>
            <w:rPr>
              <w:sz w:val="28"/>
              <w:szCs w:val="28"/>
            </w:rPr>
            <w:tab/>
          </w:r>
          <w:r>
            <w:rPr>
              <w:sz w:val="28"/>
              <w:szCs w:val="28"/>
            </w:rPr>
            <w:fldChar w:fldCharType="begin"/>
          </w:r>
          <w:r>
            <w:rPr>
              <w:sz w:val="28"/>
              <w:szCs w:val="28"/>
            </w:rPr>
            <w:instrText xml:space="preserve"> PAGEREF _Toc4985 </w:instrText>
          </w:r>
          <w:r>
            <w:rPr>
              <w:sz w:val="28"/>
              <w:szCs w:val="28"/>
            </w:rPr>
            <w:fldChar w:fldCharType="separate"/>
          </w:r>
          <w:r>
            <w:rPr>
              <w:sz w:val="28"/>
              <w:szCs w:val="28"/>
            </w:rPr>
            <w:t>28</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_Toc20644 </w:instrText>
          </w:r>
          <w:r>
            <w:rPr>
              <w:rFonts w:hint="eastAsia" w:ascii="宋体" w:hAnsi="宋体"/>
              <w:bCs/>
              <w:sz w:val="28"/>
              <w:szCs w:val="28"/>
              <w:lang w:eastAsia="zh-CN"/>
            </w:rPr>
            <w:fldChar w:fldCharType="separate"/>
          </w:r>
          <w:r>
            <w:rPr>
              <w:rFonts w:hint="eastAsia" w:ascii="宋体" w:hAnsi="宋体"/>
              <w:sz w:val="28"/>
              <w:szCs w:val="28"/>
              <w:lang w:eastAsia="zh-CN"/>
            </w:rPr>
            <w:t>（三）建议</w:t>
          </w:r>
          <w:r>
            <w:rPr>
              <w:sz w:val="28"/>
              <w:szCs w:val="28"/>
            </w:rPr>
            <w:tab/>
          </w:r>
          <w:r>
            <w:rPr>
              <w:sz w:val="28"/>
              <w:szCs w:val="28"/>
            </w:rPr>
            <w:fldChar w:fldCharType="begin"/>
          </w:r>
          <w:r>
            <w:rPr>
              <w:sz w:val="28"/>
              <w:szCs w:val="28"/>
            </w:rPr>
            <w:instrText xml:space="preserve"> PAGEREF _Toc20644 </w:instrText>
          </w:r>
          <w:r>
            <w:rPr>
              <w:sz w:val="28"/>
              <w:szCs w:val="28"/>
            </w:rPr>
            <w:fldChar w:fldCharType="separate"/>
          </w:r>
          <w:r>
            <w:rPr>
              <w:sz w:val="28"/>
              <w:szCs w:val="28"/>
            </w:rPr>
            <w:t>29</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_Toc29370 </w:instrText>
          </w:r>
          <w:r>
            <w:rPr>
              <w:rFonts w:hint="eastAsia" w:ascii="宋体" w:hAnsi="宋体"/>
              <w:bCs/>
              <w:sz w:val="28"/>
              <w:szCs w:val="28"/>
              <w:lang w:eastAsia="zh-CN"/>
            </w:rPr>
            <w:fldChar w:fldCharType="separate"/>
          </w:r>
          <w:r>
            <w:rPr>
              <w:rFonts w:hint="eastAsia" w:cs="Times New Roman"/>
              <w:bCs/>
              <w:kern w:val="2"/>
              <w:sz w:val="28"/>
              <w:szCs w:val="28"/>
              <w:lang w:val="en-US" w:eastAsia="zh-CN" w:bidi="ar-SA"/>
            </w:rPr>
            <w:t>五、</w:t>
          </w:r>
          <w:r>
            <w:rPr>
              <w:rFonts w:hint="eastAsia" w:ascii="宋体" w:hAnsi="宋体"/>
              <w:bCs/>
              <w:sz w:val="28"/>
              <w:szCs w:val="28"/>
              <w:lang w:eastAsia="zh-CN"/>
            </w:rPr>
            <w:t>其他需说明的问题</w:t>
          </w:r>
          <w:r>
            <w:rPr>
              <w:sz w:val="28"/>
              <w:szCs w:val="28"/>
            </w:rPr>
            <w:tab/>
          </w:r>
          <w:r>
            <w:rPr>
              <w:sz w:val="28"/>
              <w:szCs w:val="28"/>
            </w:rPr>
            <w:fldChar w:fldCharType="begin"/>
          </w:r>
          <w:r>
            <w:rPr>
              <w:sz w:val="28"/>
              <w:szCs w:val="28"/>
            </w:rPr>
            <w:instrText xml:space="preserve"> PAGEREF _Toc29370 </w:instrText>
          </w:r>
          <w:r>
            <w:rPr>
              <w:sz w:val="28"/>
              <w:szCs w:val="28"/>
            </w:rPr>
            <w:fldChar w:fldCharType="separate"/>
          </w:r>
          <w:r>
            <w:rPr>
              <w:sz w:val="28"/>
              <w:szCs w:val="28"/>
            </w:rPr>
            <w:t>29</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_Toc3748 </w:instrText>
          </w:r>
          <w:r>
            <w:rPr>
              <w:rFonts w:hint="eastAsia" w:ascii="宋体" w:hAnsi="宋体"/>
              <w:bCs/>
              <w:sz w:val="28"/>
              <w:szCs w:val="28"/>
              <w:lang w:eastAsia="zh-CN"/>
            </w:rPr>
            <w:fldChar w:fldCharType="separate"/>
          </w:r>
          <w:r>
            <w:rPr>
              <w:rFonts w:hint="eastAsia" w:ascii="宋体" w:hAnsi="宋体"/>
              <w:bCs/>
              <w:sz w:val="28"/>
              <w:szCs w:val="28"/>
            </w:rPr>
            <w:t>附件</w:t>
          </w:r>
          <w:r>
            <w:rPr>
              <w:sz w:val="28"/>
              <w:szCs w:val="28"/>
            </w:rPr>
            <w:tab/>
          </w:r>
          <w:r>
            <w:rPr>
              <w:sz w:val="28"/>
              <w:szCs w:val="28"/>
            </w:rPr>
            <w:fldChar w:fldCharType="begin"/>
          </w:r>
          <w:r>
            <w:rPr>
              <w:sz w:val="28"/>
              <w:szCs w:val="28"/>
            </w:rPr>
            <w:instrText xml:space="preserve"> PAGEREF _Toc3748 </w:instrText>
          </w:r>
          <w:r>
            <w:rPr>
              <w:sz w:val="28"/>
              <w:szCs w:val="28"/>
            </w:rPr>
            <w:fldChar w:fldCharType="separate"/>
          </w:r>
          <w:r>
            <w:rPr>
              <w:sz w:val="28"/>
              <w:szCs w:val="28"/>
            </w:rPr>
            <w:t>30</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_Toc18324 </w:instrText>
          </w:r>
          <w:r>
            <w:rPr>
              <w:rFonts w:hint="eastAsia" w:ascii="宋体" w:hAnsi="宋体"/>
              <w:bCs/>
              <w:sz w:val="28"/>
              <w:szCs w:val="28"/>
              <w:lang w:eastAsia="zh-CN"/>
            </w:rPr>
            <w:fldChar w:fldCharType="separate"/>
          </w:r>
          <w:r>
            <w:rPr>
              <w:rFonts w:hint="eastAsia" w:ascii="宋体" w:hAnsi="宋体"/>
              <w:sz w:val="28"/>
              <w:szCs w:val="28"/>
            </w:rPr>
            <w:t>附件  1.</w:t>
          </w:r>
          <w:r>
            <w:rPr>
              <w:rFonts w:hint="eastAsia" w:ascii="宋体" w:hAnsi="宋体"/>
              <w:sz w:val="28"/>
              <w:szCs w:val="28"/>
              <w:lang w:val="en-US" w:eastAsia="zh-CN"/>
            </w:rPr>
            <w:t xml:space="preserve"> </w:t>
          </w:r>
          <w:r>
            <w:rPr>
              <w:rFonts w:hint="eastAsia" w:ascii="宋体" w:hAnsi="宋体"/>
              <w:sz w:val="28"/>
              <w:szCs w:val="28"/>
              <w:lang w:eastAsia="zh-CN"/>
            </w:rPr>
            <w:t>绩效评价指标体系</w:t>
          </w:r>
          <w:r>
            <w:rPr>
              <w:sz w:val="28"/>
              <w:szCs w:val="28"/>
            </w:rPr>
            <w:tab/>
          </w:r>
          <w:r>
            <w:rPr>
              <w:sz w:val="28"/>
              <w:szCs w:val="28"/>
            </w:rPr>
            <w:fldChar w:fldCharType="begin"/>
          </w:r>
          <w:r>
            <w:rPr>
              <w:sz w:val="28"/>
              <w:szCs w:val="28"/>
            </w:rPr>
            <w:instrText xml:space="preserve"> PAGEREF _Toc18324 </w:instrText>
          </w:r>
          <w:r>
            <w:rPr>
              <w:sz w:val="28"/>
              <w:szCs w:val="28"/>
            </w:rPr>
            <w:fldChar w:fldCharType="separate"/>
          </w:r>
          <w:r>
            <w:rPr>
              <w:sz w:val="28"/>
              <w:szCs w:val="28"/>
            </w:rPr>
            <w:t>30</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ind w:firstLine="840" w:firstLineChars="300"/>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_Toc32040 </w:instrText>
          </w:r>
          <w:r>
            <w:rPr>
              <w:rFonts w:hint="eastAsia" w:ascii="宋体" w:hAnsi="宋体"/>
              <w:bCs/>
              <w:sz w:val="28"/>
              <w:szCs w:val="28"/>
              <w:lang w:eastAsia="zh-CN"/>
            </w:rPr>
            <w:fldChar w:fldCharType="separate"/>
          </w:r>
          <w:r>
            <w:rPr>
              <w:rFonts w:hint="eastAsia" w:ascii="宋体" w:hAnsi="宋体"/>
              <w:sz w:val="28"/>
              <w:szCs w:val="28"/>
              <w:lang w:val="en-US" w:eastAsia="zh-CN"/>
            </w:rPr>
            <w:t>2. 调查问卷</w:t>
          </w:r>
          <w:r>
            <w:rPr>
              <w:sz w:val="28"/>
              <w:szCs w:val="28"/>
            </w:rPr>
            <w:tab/>
          </w:r>
          <w:r>
            <w:rPr>
              <w:sz w:val="28"/>
              <w:szCs w:val="28"/>
            </w:rPr>
            <w:fldChar w:fldCharType="begin"/>
          </w:r>
          <w:r>
            <w:rPr>
              <w:sz w:val="28"/>
              <w:szCs w:val="28"/>
            </w:rPr>
            <w:instrText xml:space="preserve"> PAGEREF _Toc32040 </w:instrText>
          </w:r>
          <w:r>
            <w:rPr>
              <w:sz w:val="28"/>
              <w:szCs w:val="28"/>
            </w:rPr>
            <w:fldChar w:fldCharType="separate"/>
          </w:r>
          <w:r>
            <w:rPr>
              <w:sz w:val="28"/>
              <w:szCs w:val="28"/>
            </w:rPr>
            <w:t>30</w:t>
          </w:r>
          <w:r>
            <w:rPr>
              <w:sz w:val="28"/>
              <w:szCs w:val="28"/>
            </w:rPr>
            <w:fldChar w:fldCharType="end"/>
          </w:r>
          <w:r>
            <w:rPr>
              <w:rFonts w:hint="eastAsia" w:ascii="宋体" w:hAnsi="宋体"/>
              <w:bCs/>
              <w:sz w:val="28"/>
              <w:szCs w:val="28"/>
              <w:lang w:eastAsia="zh-CN"/>
            </w:rPr>
            <w:fldChar w:fldCharType="end"/>
          </w:r>
        </w:p>
        <w:p>
          <w:pPr>
            <w:jc w:val="center"/>
            <w:rPr>
              <w:rFonts w:hint="eastAsia" w:ascii="宋体" w:hAnsi="宋体"/>
              <w:b/>
              <w:bCs/>
              <w:sz w:val="28"/>
              <w:szCs w:val="28"/>
              <w:lang w:eastAsia="zh-CN"/>
            </w:rPr>
          </w:pPr>
          <w:r>
            <w:rPr>
              <w:rFonts w:hint="eastAsia" w:ascii="宋体" w:hAnsi="宋体"/>
              <w:bCs/>
              <w:sz w:val="28"/>
              <w:szCs w:val="28"/>
              <w:lang w:eastAsia="zh-CN"/>
            </w:rPr>
            <w:fldChar w:fldCharType="end"/>
          </w:r>
        </w:p>
      </w:sdtContent>
    </w:sdt>
    <w:p>
      <w:pPr>
        <w:jc w:val="center"/>
        <w:rPr>
          <w:rFonts w:hint="eastAsia" w:ascii="宋体" w:hAnsi="宋体"/>
          <w:b/>
          <w:bCs/>
          <w:sz w:val="28"/>
          <w:szCs w:val="28"/>
          <w:lang w:eastAsia="zh-CN"/>
        </w:rPr>
      </w:pPr>
    </w:p>
    <w:p>
      <w:pPr>
        <w:jc w:val="center"/>
        <w:rPr>
          <w:rFonts w:hint="eastAsia" w:ascii="宋体" w:hAnsi="宋体"/>
          <w:b/>
          <w:bCs/>
          <w:sz w:val="28"/>
          <w:szCs w:val="28"/>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sectPr>
          <w:pgSz w:w="12240" w:h="15840"/>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outlineLvl w:val="0"/>
        <w:rPr>
          <w:rFonts w:hint="eastAsia" w:ascii="宋体" w:hAnsi="宋体"/>
          <w:b/>
          <w:bCs/>
          <w:sz w:val="44"/>
          <w:szCs w:val="44"/>
          <w:lang w:eastAsia="zh-CN"/>
        </w:rPr>
      </w:pPr>
      <w:bookmarkStart w:id="0" w:name="_Toc21374"/>
      <w:r>
        <w:rPr>
          <w:rFonts w:hint="eastAsia" w:ascii="宋体" w:hAnsi="宋体"/>
          <w:b/>
          <w:bCs/>
          <w:sz w:val="44"/>
          <w:szCs w:val="44"/>
          <w:lang w:eastAsia="zh-CN"/>
        </w:rPr>
        <w:t>摘</w:t>
      </w:r>
      <w:r>
        <w:rPr>
          <w:rFonts w:hint="eastAsia" w:ascii="宋体" w:hAnsi="宋体"/>
          <w:b/>
          <w:bCs/>
          <w:sz w:val="44"/>
          <w:szCs w:val="44"/>
          <w:lang w:val="en-US" w:eastAsia="zh-CN"/>
        </w:rPr>
        <w:t xml:space="preserve"> </w:t>
      </w:r>
      <w:r>
        <w:rPr>
          <w:rFonts w:hint="eastAsia" w:ascii="宋体" w:hAnsi="宋体"/>
          <w:b/>
          <w:bCs/>
          <w:sz w:val="44"/>
          <w:szCs w:val="44"/>
          <w:lang w:eastAsia="zh-CN"/>
        </w:rPr>
        <w:t>要</w:t>
      </w:r>
      <w:bookmarkEnd w:id="0"/>
    </w:p>
    <w:p>
      <w:pPr>
        <w:numPr>
          <w:ilvl w:val="0"/>
          <w:numId w:val="1"/>
        </w:numPr>
        <w:ind w:leftChars="0"/>
        <w:outlineLvl w:val="0"/>
        <w:rPr>
          <w:rFonts w:hint="eastAsia" w:ascii="宋体" w:hAnsi="宋体"/>
          <w:b/>
          <w:bCs/>
          <w:sz w:val="28"/>
          <w:szCs w:val="28"/>
          <w:lang w:eastAsia="zh-CN"/>
        </w:rPr>
      </w:pPr>
      <w:bookmarkStart w:id="1" w:name="_Toc3084"/>
      <w:r>
        <w:rPr>
          <w:rFonts w:hint="eastAsia" w:ascii="宋体" w:hAnsi="宋体"/>
          <w:b/>
          <w:bCs/>
          <w:sz w:val="28"/>
          <w:szCs w:val="28"/>
          <w:lang w:eastAsia="zh-CN"/>
        </w:rPr>
        <w:t>概述</w:t>
      </w:r>
      <w:bookmarkEnd w:id="1"/>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color w:val="C00000"/>
          <w:sz w:val="28"/>
          <w:szCs w:val="28"/>
          <w:lang w:eastAsia="zh-CN"/>
        </w:rPr>
      </w:pPr>
      <w:r>
        <w:rPr>
          <w:rFonts w:hint="eastAsia" w:ascii="宋体" w:hAnsi="宋体"/>
          <w:color w:val="auto"/>
          <w:sz w:val="28"/>
          <w:szCs w:val="28"/>
        </w:rPr>
        <w:t>为建立激励机制，突出绩效导向，体现奖优扶优的原则，增强部门财政资金绩效管理水平，引导各地区深化改革、加强管理，</w:t>
      </w:r>
      <w:r>
        <w:rPr>
          <w:rFonts w:hint="eastAsia" w:ascii="宋体" w:hAnsi="宋体"/>
          <w:color w:val="auto"/>
          <w:sz w:val="28"/>
          <w:szCs w:val="28"/>
          <w:highlight w:val="none"/>
          <w:lang w:eastAsia="zh-CN"/>
        </w:rPr>
        <w:t>根据《预算法》、《甘肃省财政专项扶贫资金使用管理实施办法》（甘财农二 〔2007〕41号）、《甘肃省省级财政专项资金管理办法》（甘财办〔2014〕22号）、《甘肃省妇女工作专项经费使用管理办法》（甘妇发[2014]56号）、《甘肃省妇联“巾帼扶贫车间”建设 指导意见（试行）》（甘妇发〔2018〕83号）、《甘肃省“巾帼 扶贫车间”专项资金管理暂行办法》（甘妇发〔2019〕8号）、《深度贫困县区“巾帼扶贫车间”财政专项资金使用指导意见》</w:t>
      </w:r>
      <w:r>
        <w:rPr>
          <w:rFonts w:hint="eastAsia" w:ascii="宋体" w:hAnsi="宋体"/>
          <w:color w:val="auto"/>
          <w:sz w:val="28"/>
          <w:szCs w:val="28"/>
          <w:highlight w:val="none"/>
          <w:lang w:val="en-US" w:eastAsia="zh-CN"/>
        </w:rPr>
        <w:t xml:space="preserve">等文件要求对 2019年度巾帼扶贫车间项目进行了绩效评价，按照考核指标对省妇联及全省23个深度贫困县巾帼扶贫车间进行了绩效评价。                                                               </w:t>
      </w:r>
    </w:p>
    <w:p>
      <w:pPr>
        <w:numPr>
          <w:ilvl w:val="0"/>
          <w:numId w:val="1"/>
        </w:numPr>
        <w:ind w:left="0" w:leftChars="0" w:firstLine="0" w:firstLineChars="0"/>
        <w:outlineLvl w:val="0"/>
        <w:rPr>
          <w:rFonts w:hint="default" w:ascii="宋体" w:hAnsi="宋体" w:eastAsia="宋体" w:cs="Times New Roman"/>
          <w:b w:val="0"/>
          <w:bCs/>
          <w:color w:val="auto"/>
          <w:sz w:val="28"/>
          <w:szCs w:val="28"/>
          <w:lang w:val="en-US" w:eastAsia="zh-CN"/>
        </w:rPr>
      </w:pPr>
      <w:bookmarkStart w:id="2" w:name="_Toc5059"/>
      <w:r>
        <w:rPr>
          <w:rFonts w:hint="eastAsia" w:ascii="宋体" w:hAnsi="宋体"/>
          <w:b/>
          <w:bCs/>
          <w:color w:val="auto"/>
          <w:sz w:val="28"/>
          <w:szCs w:val="28"/>
          <w:lang w:eastAsia="zh-CN"/>
        </w:rPr>
        <w:t>评价结论</w:t>
      </w:r>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宋体" w:hAnsi="宋体"/>
          <w:b w:val="0"/>
          <w:bCs w:val="0"/>
          <w:color w:val="auto"/>
          <w:sz w:val="28"/>
          <w:szCs w:val="28"/>
          <w:lang w:eastAsia="zh-CN"/>
        </w:rPr>
      </w:pPr>
      <w:r>
        <w:rPr>
          <w:rFonts w:hint="eastAsia" w:ascii="宋体" w:hAnsi="宋体" w:cs="Times New Roman"/>
          <w:b w:val="0"/>
          <w:bCs/>
          <w:color w:val="auto"/>
          <w:sz w:val="28"/>
          <w:szCs w:val="28"/>
          <w:lang w:val="en-US" w:eastAsia="zh-CN"/>
        </w:rPr>
        <w:t>2019</w:t>
      </w:r>
      <w:r>
        <w:rPr>
          <w:rFonts w:hint="eastAsia" w:ascii="宋体" w:hAnsi="宋体" w:eastAsia="宋体" w:cs="Times New Roman"/>
          <w:b w:val="0"/>
          <w:bCs/>
          <w:color w:val="auto"/>
          <w:sz w:val="28"/>
          <w:szCs w:val="28"/>
          <w:lang w:val="en-US" w:eastAsia="zh-CN"/>
        </w:rPr>
        <w:t>年</w:t>
      </w:r>
      <w:r>
        <w:rPr>
          <w:rFonts w:hint="eastAsia" w:ascii="宋体" w:hAnsi="宋体" w:cs="Times New Roman"/>
          <w:b w:val="0"/>
          <w:bCs/>
          <w:color w:val="auto"/>
          <w:sz w:val="28"/>
          <w:szCs w:val="28"/>
          <w:lang w:val="en-US" w:eastAsia="zh-CN"/>
        </w:rPr>
        <w:t>度“巾帼扶贫车间”财政专项扶贫资金1000万元，省妇联本级600万元，</w:t>
      </w:r>
      <w:r>
        <w:rPr>
          <w:rFonts w:hint="eastAsia" w:ascii="宋体" w:hAnsi="宋体" w:eastAsia="宋体" w:cs="Times New Roman"/>
          <w:b w:val="0"/>
          <w:bCs/>
          <w:color w:val="auto"/>
          <w:sz w:val="28"/>
          <w:szCs w:val="28"/>
          <w:lang w:val="en-US" w:eastAsia="zh-CN"/>
        </w:rPr>
        <w:t>400万元直接拨付23个深度贫困县，专项资金按时</w:t>
      </w:r>
      <w:r>
        <w:rPr>
          <w:rFonts w:hint="eastAsia" w:ascii="宋体" w:hAnsi="宋体" w:cs="Times New Roman"/>
          <w:b w:val="0"/>
          <w:bCs/>
          <w:color w:val="auto"/>
          <w:sz w:val="28"/>
          <w:szCs w:val="28"/>
          <w:lang w:val="en-US" w:eastAsia="zh-CN"/>
        </w:rPr>
        <w:t>足</w:t>
      </w:r>
      <w:r>
        <w:rPr>
          <w:rFonts w:hint="eastAsia" w:ascii="宋体" w:hAnsi="宋体" w:eastAsia="宋体" w:cs="Times New Roman"/>
          <w:b w:val="0"/>
          <w:bCs/>
          <w:color w:val="auto"/>
          <w:sz w:val="28"/>
          <w:szCs w:val="28"/>
          <w:lang w:val="en-US" w:eastAsia="zh-CN"/>
        </w:rPr>
        <w:t>额拨付。截至2019年12月31日，结余资金5.1325万元。资</w:t>
      </w:r>
      <w:r>
        <w:rPr>
          <w:rFonts w:hint="eastAsia" w:ascii="宋体" w:hAnsi="宋体"/>
          <w:b w:val="0"/>
          <w:bCs/>
          <w:color w:val="auto"/>
          <w:sz w:val="28"/>
          <w:szCs w:val="28"/>
          <w:lang w:val="en-US" w:eastAsia="zh-CN"/>
        </w:rPr>
        <w:t>金使用率为99.49%</w:t>
      </w:r>
      <w:r>
        <w:rPr>
          <w:rFonts w:hint="eastAsia" w:ascii="宋体" w:hAnsi="宋体" w:eastAsia="宋体" w:cs="Times New Roman"/>
          <w:b w:val="0"/>
          <w:bCs/>
          <w:color w:val="auto"/>
          <w:sz w:val="28"/>
          <w:szCs w:val="28"/>
          <w:lang w:val="en-US" w:eastAsia="zh-CN"/>
        </w:rPr>
        <w:t>，通过对</w:t>
      </w:r>
      <w:r>
        <w:rPr>
          <w:rFonts w:hint="eastAsia" w:ascii="宋体" w:hAnsi="宋体" w:cs="Times New Roman"/>
          <w:b w:val="0"/>
          <w:bCs/>
          <w:color w:val="auto"/>
          <w:sz w:val="28"/>
          <w:szCs w:val="28"/>
          <w:lang w:val="en-US" w:eastAsia="zh-CN"/>
        </w:rPr>
        <w:t>绩效</w:t>
      </w:r>
      <w:r>
        <w:rPr>
          <w:rFonts w:hint="eastAsia" w:ascii="宋体" w:hAnsi="宋体" w:eastAsia="宋体" w:cs="Times New Roman"/>
          <w:b w:val="0"/>
          <w:bCs/>
          <w:color w:val="auto"/>
          <w:sz w:val="28"/>
          <w:szCs w:val="28"/>
          <w:lang w:val="en-US" w:eastAsia="zh-CN"/>
        </w:rPr>
        <w:t>评价得分加权平均全省综合得分为</w:t>
      </w:r>
      <w:r>
        <w:rPr>
          <w:rFonts w:hint="eastAsia" w:ascii="宋体" w:hAnsi="宋体" w:cs="Times New Roman"/>
          <w:b w:val="0"/>
          <w:bCs/>
          <w:color w:val="FF0000"/>
          <w:sz w:val="28"/>
          <w:szCs w:val="28"/>
          <w:lang w:val="en-US" w:eastAsia="zh-CN"/>
        </w:rPr>
        <w:t>93.14</w:t>
      </w:r>
      <w:r>
        <w:rPr>
          <w:rFonts w:hint="eastAsia" w:ascii="宋体" w:hAnsi="宋体" w:eastAsia="宋体" w:cs="Times New Roman"/>
          <w:b w:val="0"/>
          <w:bCs/>
          <w:color w:val="auto"/>
          <w:sz w:val="28"/>
          <w:szCs w:val="28"/>
          <w:lang w:val="en-US" w:eastAsia="zh-CN"/>
        </w:rPr>
        <w:t>分，评价等级为</w:t>
      </w:r>
      <w:r>
        <w:rPr>
          <w:rFonts w:hint="eastAsia" w:ascii="宋体" w:hAnsi="宋体" w:cs="Times New Roman"/>
          <w:b w:val="0"/>
          <w:bCs/>
          <w:color w:val="auto"/>
          <w:sz w:val="28"/>
          <w:szCs w:val="28"/>
          <w:lang w:val="en-US" w:eastAsia="zh-CN"/>
        </w:rPr>
        <w:t>优</w:t>
      </w:r>
      <w:r>
        <w:rPr>
          <w:rFonts w:hint="eastAsia" w:ascii="宋体" w:hAnsi="宋体" w:eastAsia="宋体" w:cs="Times New Roman"/>
          <w:b w:val="0"/>
          <w:bCs/>
          <w:color w:val="auto"/>
          <w:sz w:val="28"/>
          <w:szCs w:val="28"/>
          <w:lang w:val="en-US" w:eastAsia="zh-CN"/>
        </w:rPr>
        <w:t>。</w:t>
      </w:r>
    </w:p>
    <w:p>
      <w:pPr>
        <w:numPr>
          <w:ilvl w:val="0"/>
          <w:numId w:val="1"/>
        </w:numPr>
        <w:ind w:left="0" w:leftChars="0" w:firstLine="0" w:firstLineChars="0"/>
        <w:outlineLvl w:val="0"/>
        <w:rPr>
          <w:rFonts w:hint="eastAsia" w:ascii="仿宋" w:hAnsi="仿宋" w:eastAsia="仿宋" w:cs="仿宋"/>
          <w:sz w:val="30"/>
          <w:szCs w:val="30"/>
        </w:rPr>
      </w:pPr>
      <w:bookmarkStart w:id="3" w:name="_Toc24805"/>
      <w:r>
        <w:rPr>
          <w:rFonts w:hint="eastAsia" w:ascii="宋体" w:hAnsi="宋体"/>
          <w:b/>
          <w:bCs/>
          <w:sz w:val="28"/>
          <w:szCs w:val="28"/>
          <w:lang w:eastAsia="zh-CN"/>
        </w:rPr>
        <w:t>评价建议</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1. 进一步健全绩效评价机制建设，规范评价工作的组织领导及实施程序，深化部门合作，逐步形成由行政管理、技术支持、第三方参与的绩效评价模式；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2. 进一步完善绩效评价体系，依托省级部门加强对绩效考核的管理，绩效指标的效用，保证绩效评价的科学性、连续性和可行性；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3. 进一步强化绩效评价工作，通过本次绩效评价，发现各地区所提供资料不够完善，对指标体系的理解不规范，建议开展绩效评价培训，加强绩效评价基础工作，完善工作程序及资料填报以达到绩效评价工作要求。</w:t>
      </w:r>
    </w:p>
    <w:p>
      <w:pPr>
        <w:rPr>
          <w:rFonts w:hint="eastAsia" w:ascii="宋体" w:hAnsi="宋体"/>
          <w:b/>
          <w:bCs/>
          <w:sz w:val="44"/>
          <w:szCs w:val="44"/>
          <w:lang w:eastAsia="zh-CN"/>
        </w:rPr>
      </w:pPr>
      <w:r>
        <w:rPr>
          <w:rFonts w:hint="eastAsia" w:ascii="宋体" w:hAnsi="宋体"/>
          <w:b/>
          <w:bCs/>
          <w:sz w:val="44"/>
          <w:szCs w:val="44"/>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宋体" w:hAnsi="宋体"/>
          <w:b/>
          <w:bCs/>
          <w:sz w:val="44"/>
          <w:szCs w:val="44"/>
          <w:lang w:eastAsia="zh-CN"/>
        </w:rPr>
      </w:pPr>
      <w:bookmarkStart w:id="4" w:name="_Toc9053"/>
      <w:r>
        <w:rPr>
          <w:rFonts w:hint="eastAsia" w:ascii="宋体" w:hAnsi="宋体"/>
          <w:b/>
          <w:bCs/>
          <w:sz w:val="44"/>
          <w:szCs w:val="44"/>
          <w:lang w:eastAsia="zh-CN"/>
        </w:rPr>
        <w:t>前</w:t>
      </w:r>
      <w:r>
        <w:rPr>
          <w:rFonts w:hint="eastAsia" w:ascii="宋体" w:hAnsi="宋体"/>
          <w:b/>
          <w:bCs/>
          <w:sz w:val="44"/>
          <w:szCs w:val="44"/>
          <w:lang w:val="en-US" w:eastAsia="zh-CN"/>
        </w:rPr>
        <w:t xml:space="preserve"> </w:t>
      </w:r>
      <w:r>
        <w:rPr>
          <w:rFonts w:hint="eastAsia" w:ascii="宋体" w:hAnsi="宋体"/>
          <w:b/>
          <w:bCs/>
          <w:sz w:val="44"/>
          <w:szCs w:val="44"/>
          <w:lang w:eastAsia="zh-CN"/>
        </w:rPr>
        <w:t>言</w:t>
      </w:r>
      <w:bookmarkEnd w:id="4"/>
    </w:p>
    <w:p>
      <w:pPr>
        <w:numPr>
          <w:ilvl w:val="0"/>
          <w:numId w:val="2"/>
        </w:numPr>
        <w:jc w:val="left"/>
        <w:outlineLvl w:val="0"/>
        <w:rPr>
          <w:rFonts w:hint="eastAsia" w:ascii="宋体" w:hAnsi="宋体"/>
          <w:b/>
          <w:bCs/>
          <w:sz w:val="28"/>
          <w:szCs w:val="28"/>
          <w:lang w:eastAsia="zh-CN"/>
        </w:rPr>
      </w:pPr>
      <w:bookmarkStart w:id="5" w:name="_Toc6730"/>
      <w:r>
        <w:rPr>
          <w:rFonts w:hint="eastAsia" w:ascii="宋体" w:hAnsi="宋体"/>
          <w:b/>
          <w:bCs/>
          <w:sz w:val="28"/>
          <w:szCs w:val="28"/>
          <w:lang w:eastAsia="zh-CN"/>
        </w:rPr>
        <w:t>开展绩效评价的背景</w:t>
      </w:r>
      <w:bookmarkEnd w:id="5"/>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sz w:val="28"/>
          <w:szCs w:val="28"/>
          <w:highlight w:val="none"/>
          <w:lang w:eastAsia="zh-CN"/>
        </w:rPr>
      </w:pPr>
      <w:r>
        <w:rPr>
          <w:rFonts w:hint="eastAsia" w:ascii="宋体" w:hAnsi="宋体"/>
          <w:sz w:val="28"/>
          <w:szCs w:val="28"/>
          <w:highlight w:val="none"/>
          <w:lang w:eastAsia="zh-CN"/>
        </w:rPr>
        <w:t>为深入贯彻落实省委、省政府关于脱贫攻坚的新部署、新要求，扎实推进巧手脱贫行动，对</w:t>
      </w:r>
      <w:r>
        <w:rPr>
          <w:rFonts w:hint="eastAsia" w:ascii="宋体" w:hAnsi="宋体"/>
          <w:sz w:val="28"/>
          <w:szCs w:val="28"/>
          <w:highlight w:val="none"/>
          <w:lang w:val="en-US" w:eastAsia="zh-CN"/>
        </w:rPr>
        <w:t xml:space="preserve"> 2019年度巾帼扶贫车间项目按照考核指标对省妇联及全省23个深度贫困县巾帼扶贫车间进行了绩效评价，</w:t>
      </w:r>
      <w:r>
        <w:rPr>
          <w:rFonts w:hint="eastAsia" w:ascii="宋体" w:hAnsi="宋体"/>
          <w:sz w:val="28"/>
          <w:szCs w:val="28"/>
          <w:highlight w:val="none"/>
          <w:lang w:eastAsia="zh-CN"/>
        </w:rPr>
        <w:t>要求各级妇联严格执行</w:t>
      </w:r>
      <w:r>
        <w:rPr>
          <w:rFonts w:hint="eastAsia" w:ascii="宋体" w:hAnsi="宋体"/>
          <w:color w:val="auto"/>
          <w:sz w:val="28"/>
          <w:szCs w:val="28"/>
          <w:highlight w:val="none"/>
          <w:lang w:eastAsia="zh-CN"/>
        </w:rPr>
        <w:t>《甘肃省妇女工作专项经费使用管理办法》（甘妇发[2014]56号）和《甘肃省“巾帼扶贫车间”专项资金管理暂行办法》（甘妇发〔2019〕8号）</w:t>
      </w:r>
      <w:r>
        <w:rPr>
          <w:rFonts w:hint="default" w:ascii="宋体" w:hAnsi="宋体"/>
          <w:sz w:val="28"/>
          <w:szCs w:val="28"/>
          <w:highlight w:val="none"/>
          <w:lang w:eastAsia="zh-CN"/>
        </w:rPr>
        <w:t>相关规定，确保专项经费安全有效使用，真正做到专款专用、专项管理，不得用于与培训无关的支出。</w:t>
      </w:r>
    </w:p>
    <w:p>
      <w:pPr>
        <w:numPr>
          <w:ilvl w:val="0"/>
          <w:numId w:val="2"/>
        </w:numPr>
        <w:ind w:left="0" w:leftChars="0" w:firstLine="0" w:firstLineChars="0"/>
        <w:jc w:val="left"/>
        <w:outlineLvl w:val="0"/>
        <w:rPr>
          <w:rFonts w:hint="eastAsia" w:ascii="宋体" w:hAnsi="宋体"/>
          <w:b/>
          <w:bCs/>
          <w:sz w:val="28"/>
          <w:szCs w:val="28"/>
          <w:lang w:eastAsia="zh-CN"/>
        </w:rPr>
      </w:pPr>
      <w:bookmarkStart w:id="6" w:name="_Toc1715"/>
      <w:r>
        <w:rPr>
          <w:rFonts w:hint="eastAsia" w:ascii="宋体" w:hAnsi="宋体"/>
          <w:b/>
          <w:bCs/>
          <w:sz w:val="28"/>
          <w:szCs w:val="28"/>
          <w:lang w:eastAsia="zh-CN"/>
        </w:rPr>
        <w:t>评价委托关系</w:t>
      </w:r>
      <w:bookmarkEnd w:id="6"/>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宋体" w:hAnsi="宋体"/>
          <w:b/>
          <w:bCs/>
          <w:sz w:val="28"/>
          <w:szCs w:val="28"/>
          <w:lang w:eastAsia="zh-CN"/>
        </w:rPr>
      </w:pPr>
      <w:r>
        <w:rPr>
          <w:rFonts w:hint="eastAsia" w:ascii="宋体" w:hAnsi="宋体"/>
          <w:b w:val="0"/>
          <w:bCs w:val="0"/>
          <w:sz w:val="28"/>
          <w:szCs w:val="28"/>
          <w:lang w:eastAsia="zh-CN"/>
        </w:rPr>
        <w:t>甘肃省妇女联合会委托甘肃中强</w:t>
      </w:r>
      <w:bookmarkStart w:id="125" w:name="_GoBack"/>
      <w:bookmarkEnd w:id="125"/>
      <w:r>
        <w:rPr>
          <w:rFonts w:hint="eastAsia" w:ascii="宋体" w:hAnsi="宋体"/>
          <w:b w:val="0"/>
          <w:bCs w:val="0"/>
          <w:sz w:val="28"/>
          <w:szCs w:val="28"/>
          <w:lang w:eastAsia="zh-CN"/>
        </w:rPr>
        <w:t>会计事务有限公司对甘肃省</w:t>
      </w:r>
      <w:r>
        <w:rPr>
          <w:rFonts w:hint="eastAsia" w:ascii="宋体" w:hAnsi="宋体"/>
          <w:b w:val="0"/>
          <w:bCs w:val="0"/>
          <w:sz w:val="28"/>
          <w:szCs w:val="28"/>
          <w:lang w:val="en-US" w:eastAsia="zh-CN"/>
        </w:rPr>
        <w:t>2019年度巾帼扶贫车间技能培训项目专项资金进行绩效评价。</w:t>
      </w:r>
      <w:r>
        <w:rPr>
          <w:rFonts w:hint="eastAsia" w:ascii="宋体" w:hAnsi="宋体"/>
          <w:b/>
          <w:bCs/>
          <w:sz w:val="28"/>
          <w:szCs w:val="28"/>
          <w:lang w:eastAsia="zh-CN"/>
        </w:rPr>
        <w:br w:type="page"/>
      </w:r>
    </w:p>
    <w:p>
      <w:pPr>
        <w:widowControl/>
        <w:numPr>
          <w:ilvl w:val="0"/>
          <w:numId w:val="0"/>
        </w:numPr>
        <w:spacing w:line="480" w:lineRule="auto"/>
        <w:outlineLvl w:val="0"/>
        <w:rPr>
          <w:rFonts w:hint="eastAsia" w:ascii="宋体" w:hAnsi="宋体" w:eastAsia="宋体"/>
          <w:b/>
          <w:bCs/>
          <w:sz w:val="28"/>
          <w:szCs w:val="28"/>
          <w:lang w:eastAsia="zh-CN"/>
        </w:rPr>
      </w:pPr>
      <w:bookmarkStart w:id="7" w:name="_Toc26967"/>
      <w:r>
        <w:rPr>
          <w:rFonts w:hint="eastAsia" w:ascii="宋体" w:hAnsi="宋体"/>
          <w:b/>
          <w:bCs/>
          <w:sz w:val="28"/>
          <w:szCs w:val="28"/>
          <w:lang w:eastAsia="zh-CN"/>
        </w:rPr>
        <w:t>一、</w:t>
      </w:r>
      <w:r>
        <w:rPr>
          <w:rFonts w:hint="eastAsia" w:ascii="宋体" w:hAnsi="宋体"/>
          <w:b/>
          <w:bCs/>
          <w:sz w:val="28"/>
          <w:szCs w:val="28"/>
        </w:rPr>
        <w:t>项目</w:t>
      </w:r>
      <w:r>
        <w:rPr>
          <w:rFonts w:hint="eastAsia" w:ascii="宋体" w:hAnsi="宋体"/>
          <w:b/>
          <w:bCs/>
          <w:sz w:val="28"/>
          <w:szCs w:val="28"/>
          <w:lang w:eastAsia="zh-CN"/>
        </w:rPr>
        <w:t>基本情况</w:t>
      </w:r>
      <w:bookmarkEnd w:id="7"/>
    </w:p>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outlineLvl w:val="1"/>
        <w:rPr>
          <w:rFonts w:hint="eastAsia" w:ascii="宋体" w:hAnsi="宋体"/>
          <w:b/>
          <w:bCs/>
          <w:sz w:val="28"/>
          <w:szCs w:val="28"/>
          <w:lang w:eastAsia="zh-CN"/>
        </w:rPr>
      </w:pPr>
      <w:bookmarkStart w:id="8" w:name="_Toc14204"/>
      <w:r>
        <w:rPr>
          <w:rFonts w:hint="eastAsia" w:ascii="宋体" w:hAnsi="宋体"/>
          <w:b/>
          <w:bCs/>
          <w:sz w:val="28"/>
          <w:szCs w:val="28"/>
        </w:rPr>
        <w:t>（一）</w:t>
      </w:r>
      <w:r>
        <w:rPr>
          <w:rFonts w:hint="eastAsia" w:ascii="宋体" w:hAnsi="宋体"/>
          <w:b/>
          <w:bCs/>
          <w:sz w:val="28"/>
          <w:szCs w:val="28"/>
          <w:lang w:eastAsia="zh-CN"/>
        </w:rPr>
        <w:t>项目概况</w:t>
      </w:r>
      <w:bookmarkEnd w:id="8"/>
    </w:p>
    <w:p>
      <w:pPr>
        <w:widowControl/>
        <w:spacing w:line="480" w:lineRule="auto"/>
        <w:ind w:firstLine="557" w:firstLineChars="198"/>
        <w:rPr>
          <w:rFonts w:hint="eastAsia" w:ascii="宋体" w:hAnsi="宋体"/>
          <w:b/>
          <w:bCs/>
          <w:color w:val="C00000"/>
          <w:sz w:val="28"/>
          <w:szCs w:val="28"/>
          <w:lang w:val="en-US" w:eastAsia="zh-CN"/>
        </w:rPr>
      </w:pPr>
      <w:r>
        <w:rPr>
          <w:rFonts w:hint="eastAsia" w:ascii="宋体" w:hAnsi="宋体"/>
          <w:b/>
          <w:bCs/>
          <w:color w:val="auto"/>
          <w:sz w:val="28"/>
          <w:szCs w:val="28"/>
          <w:lang w:val="en-US" w:eastAsia="zh-CN"/>
        </w:rPr>
        <w:t>1.项目立项背景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color w:val="C00000"/>
          <w:sz w:val="28"/>
          <w:szCs w:val="28"/>
          <w:highlight w:val="none"/>
          <w:lang w:val="en-US" w:eastAsia="zh-CN"/>
        </w:rPr>
      </w:pPr>
      <w:r>
        <w:rPr>
          <w:rFonts w:hint="eastAsia" w:ascii="宋体" w:hAnsi="宋体"/>
          <w:color w:val="auto"/>
          <w:sz w:val="28"/>
          <w:szCs w:val="28"/>
          <w:highlight w:val="none"/>
          <w:lang w:eastAsia="zh-CN"/>
        </w:rPr>
        <w:t>2019年省妇联在武威市、白银市、天水市、庆阳市、平凉市、定西市、陇南市、甘南州、临夏州开展巾帼扶贫车间，有效解决了贫困妇女“下地种田、上班挣钱、照顾家庭”的三方矛盾，切实帮助贫困妇女以技脱贫、以技致富，走出了一条妇女增收、产业发展、企业壮大、多方共赢的脱贫新路子。通过全力打造扎根在农村的“产业车间”“致富车间”“小康车间”，精准帮助更多贫困妇女实现居家灵活就业、增收脱贫。巾帼扶贫车间财政专项扶贫资金1000万元，省妇联本级600万元，400万元直接拨付23个深度贫困县，已经下拨相关县区财政局，用于40个深度贫困乡镇的巾帼扶贫车间。</w:t>
      </w:r>
      <w:r>
        <w:rPr>
          <w:rFonts w:hint="eastAsia" w:ascii="宋体" w:hAnsi="宋体"/>
          <w:color w:val="auto"/>
          <w:sz w:val="28"/>
          <w:szCs w:val="28"/>
          <w:highlight w:val="none"/>
          <w:lang w:val="en-US" w:eastAsia="zh-CN"/>
        </w:rPr>
        <w:t xml:space="preserve">                                                             </w:t>
      </w:r>
      <w:r>
        <w:rPr>
          <w:rFonts w:hint="eastAsia" w:ascii="宋体" w:hAnsi="宋体"/>
          <w:color w:val="C00000"/>
          <w:sz w:val="28"/>
          <w:szCs w:val="28"/>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2" w:firstLineChars="200"/>
        <w:textAlignment w:val="auto"/>
        <w:rPr>
          <w:rFonts w:hint="eastAsia" w:ascii="宋体" w:hAnsi="宋体"/>
          <w:b/>
          <w:bCs/>
          <w:color w:val="C00000"/>
          <w:sz w:val="28"/>
          <w:szCs w:val="28"/>
          <w:lang w:val="en-US" w:eastAsia="zh-CN"/>
        </w:rPr>
      </w:pPr>
      <w:r>
        <w:rPr>
          <w:rFonts w:hint="eastAsia" w:ascii="宋体" w:hAnsi="宋体"/>
          <w:b/>
          <w:bCs/>
          <w:sz w:val="28"/>
          <w:szCs w:val="28"/>
          <w:lang w:val="en-US" w:eastAsia="zh-CN"/>
        </w:rPr>
        <w:t xml:space="preserve">2.项目实施情况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color w:val="C00000"/>
          <w:sz w:val="28"/>
          <w:szCs w:val="28"/>
          <w:lang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）武威市</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古浪县</w:t>
      </w:r>
      <w:r>
        <w:rPr>
          <w:rFonts w:hint="eastAsia" w:ascii="宋体" w:hAnsi="宋体" w:cs="宋体"/>
          <w:color w:val="auto"/>
          <w:sz w:val="28"/>
          <w:szCs w:val="28"/>
          <w:lang w:val="en-US" w:eastAsia="zh-CN"/>
        </w:rPr>
        <w:t>黑松驿镇、西靖镇共建立4</w:t>
      </w:r>
      <w:r>
        <w:rPr>
          <w:rFonts w:hint="eastAsia" w:ascii="宋体" w:hAnsi="宋体" w:cs="宋体"/>
          <w:color w:val="auto"/>
          <w:sz w:val="28"/>
          <w:szCs w:val="28"/>
          <w:lang w:eastAsia="zh-CN"/>
        </w:rPr>
        <w:t>个巾帼扶贫车间（甘肃甄程农牧业科技发展有限公司黄花滩分公司“巾帼扶贫车间”、甘肃睿驰生态农业开发有限公司“巾帼扶贫车间”、古浪县鸿盛金源商贸有限公司、大靖玉双地毯厂“巾帼扶贫车间”），车间吸纳建档立卡贫困妇女98人就业，人均月收入2500元以上，本年度培训车间女工160人（次），车间均成立了妇联组织并积极开展“五个一”创建活动。县妇联举办了全省“巾帼扶贫车间”骨干培训班，进一步提高了车间妇女骨干的带动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巾帼扶贫车间完成情况</w:t>
      </w:r>
    </w:p>
    <w:tbl>
      <w:tblPr>
        <w:tblStyle w:val="4"/>
        <w:tblW w:w="85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58"/>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blHeader/>
        </w:trPr>
        <w:tc>
          <w:tcPr>
            <w:tcW w:w="7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市州</w:t>
            </w:r>
          </w:p>
        </w:tc>
        <w:tc>
          <w:tcPr>
            <w:tcW w:w="8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县区</w:t>
            </w:r>
          </w:p>
        </w:tc>
        <w:tc>
          <w:tcPr>
            <w:tcW w:w="69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武威</w:t>
            </w: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古浪县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甘肃甄程农牧业科技发展有限公司黄花滩分公司“巾帼扶贫车间”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甘肃睿驰生态农业开发有限公司“巾帼扶贫车间”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古浪县鸿盛金源商贸有限公司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大靖玉双地毯厂“巾帼扶贫车间”</w:t>
            </w:r>
          </w:p>
          <w:p>
            <w:pPr>
              <w:spacing w:line="360" w:lineRule="auto"/>
              <w:jc w:val="left"/>
              <w:rPr>
                <w:rFonts w:hint="eastAsia" w:ascii="宋体" w:hAnsi="宋体" w:eastAsia="宋体" w:cs="宋体"/>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宋体"/>
          <w:color w:val="auto"/>
          <w:sz w:val="28"/>
          <w:szCs w:val="28"/>
          <w:lang w:eastAsia="zh-CN"/>
        </w:rPr>
      </w:pPr>
      <w:r>
        <w:rPr>
          <w:rFonts w:hint="eastAsia" w:ascii="宋体" w:hAnsi="宋体" w:cs="宋体"/>
          <w:b w:val="0"/>
          <w:bCs w:val="0"/>
          <w:color w:val="auto"/>
          <w:sz w:val="28"/>
          <w:szCs w:val="28"/>
          <w:highlight w:val="none"/>
          <w:vertAlign w:val="baseline"/>
          <w:lang w:val="en-US" w:eastAsia="zh-CN"/>
        </w:rPr>
        <w:t>（2）白银市：</w:t>
      </w:r>
      <w:r>
        <w:rPr>
          <w:rFonts w:hint="eastAsia" w:ascii="宋体" w:hAnsi="宋体" w:cs="宋体"/>
          <w:color w:val="auto"/>
          <w:sz w:val="28"/>
          <w:szCs w:val="28"/>
          <w:lang w:eastAsia="zh-CN"/>
        </w:rPr>
        <w:t>会宁县</w:t>
      </w:r>
      <w:r>
        <w:rPr>
          <w:rFonts w:hint="eastAsia" w:ascii="宋体" w:hAnsi="宋体" w:cs="宋体"/>
          <w:color w:val="auto"/>
          <w:sz w:val="28"/>
          <w:szCs w:val="28"/>
          <w:lang w:val="en-US" w:eastAsia="zh-CN"/>
        </w:rPr>
        <w:t>大沟镇、汉家岔镇共建立4</w:t>
      </w:r>
      <w:r>
        <w:rPr>
          <w:rFonts w:hint="eastAsia" w:ascii="宋体" w:hAnsi="宋体" w:cs="宋体"/>
          <w:color w:val="auto"/>
          <w:sz w:val="28"/>
          <w:szCs w:val="28"/>
          <w:lang w:eastAsia="zh-CN"/>
        </w:rPr>
        <w:t>个巾帼扶贫车间（会宁县腾辉致达商贸有限公司、会宁县农鑫牧草专业合作社、会宁县建民专业合作社、会宁县好艺佳手工制品有限公司），建档立卡贫困妇女占就业人数达到50%以上签订劳动合同的妇女通过培训掌握了一技之长，年均收入达到15000以上，达到贫困妇女居家增收的目的，提高了妇女的经济效益。靖远县</w:t>
      </w:r>
      <w:r>
        <w:rPr>
          <w:rFonts w:hint="eastAsia" w:ascii="宋体" w:hAnsi="宋体" w:cs="宋体"/>
          <w:color w:val="auto"/>
          <w:sz w:val="28"/>
          <w:szCs w:val="28"/>
          <w:lang w:val="en-US" w:eastAsia="zh-CN"/>
        </w:rPr>
        <w:t>永新乡共建立2</w:t>
      </w:r>
      <w:r>
        <w:rPr>
          <w:rFonts w:hint="eastAsia" w:ascii="宋体" w:hAnsi="宋体" w:cs="宋体"/>
          <w:color w:val="auto"/>
          <w:sz w:val="28"/>
          <w:szCs w:val="28"/>
          <w:lang w:eastAsia="zh-CN"/>
        </w:rPr>
        <w:t>个巾帼扶贫车间（靖远县巾帼扶贫车间联盟</w:t>
      </w:r>
      <w:r>
        <w:rPr>
          <w:rFonts w:hint="eastAsia" w:ascii="宋体" w:hAnsi="宋体" w:cs="宋体"/>
          <w:color w:val="auto"/>
          <w:sz w:val="28"/>
          <w:szCs w:val="28"/>
          <w:lang w:val="en-US" w:eastAsia="zh-CN"/>
        </w:rPr>
        <w:t>&lt;</w:t>
      </w:r>
      <w:r>
        <w:rPr>
          <w:rFonts w:hint="eastAsia" w:ascii="宋体" w:hAnsi="宋体" w:cs="宋体"/>
          <w:color w:val="auto"/>
          <w:sz w:val="28"/>
          <w:szCs w:val="28"/>
          <w:lang w:eastAsia="zh-CN"/>
        </w:rPr>
        <w:t>甘肃陇湘豫股份有限公司巾帼扶贫车间</w:t>
      </w:r>
      <w:r>
        <w:rPr>
          <w:rFonts w:hint="eastAsia" w:ascii="宋体" w:hAnsi="宋体" w:cs="宋体"/>
          <w:color w:val="auto"/>
          <w:sz w:val="28"/>
          <w:szCs w:val="28"/>
          <w:lang w:val="en-US" w:eastAsia="zh-CN"/>
        </w:rPr>
        <w:t>&gt;</w:t>
      </w:r>
      <w:r>
        <w:rPr>
          <w:rFonts w:hint="eastAsia" w:ascii="宋体" w:hAnsi="宋体" w:cs="宋体"/>
          <w:color w:val="auto"/>
          <w:sz w:val="28"/>
          <w:szCs w:val="28"/>
          <w:lang w:eastAsia="zh-CN"/>
        </w:rPr>
        <w:t>、靖远县永新乡巾帼扶贫车间），巾帼扶贫车间岗前培训总人数81人，其中培训的建档立卡贫困妇女占总人数的100%，受训妇女通过岗前技能培训人均年增收均在7000元以上,妇女们对“巾帼扶贫车间”岗前培训满意度≥98%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巾帼扶贫车间完成情况</w:t>
      </w:r>
    </w:p>
    <w:tbl>
      <w:tblPr>
        <w:tblStyle w:val="4"/>
        <w:tblW w:w="85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58"/>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blHeader/>
        </w:trPr>
        <w:tc>
          <w:tcPr>
            <w:tcW w:w="7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市州</w:t>
            </w:r>
          </w:p>
        </w:tc>
        <w:tc>
          <w:tcPr>
            <w:tcW w:w="8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县区</w:t>
            </w:r>
          </w:p>
        </w:tc>
        <w:tc>
          <w:tcPr>
            <w:tcW w:w="69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白银</w:t>
            </w: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会宁县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会宁县好艺佳手工制品有限公司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会宁县建民种植专业合作社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会宁县农鑫牧草专业合作社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会宁县腾辉致达商贸有限公司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靖远县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靖远县巾帼扶贫车间联盟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靖远县永新乡巾帼扶贫车间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color w:val="auto"/>
          <w:sz w:val="28"/>
          <w:szCs w:val="28"/>
          <w:lang w:eastAsia="zh-CN"/>
        </w:rPr>
      </w:pPr>
      <w:r>
        <w:rPr>
          <w:rFonts w:hint="eastAsia" w:ascii="宋体" w:hAnsi="宋体" w:cs="宋体"/>
          <w:b w:val="0"/>
          <w:bCs w:val="0"/>
          <w:color w:val="auto"/>
          <w:sz w:val="28"/>
          <w:szCs w:val="28"/>
          <w:highlight w:val="none"/>
          <w:vertAlign w:val="baseline"/>
          <w:lang w:val="en-US" w:eastAsia="zh-CN"/>
        </w:rPr>
        <w:t>（3）庆阳市：</w:t>
      </w:r>
      <w:r>
        <w:rPr>
          <w:rFonts w:hint="eastAsia" w:ascii="宋体" w:hAnsi="宋体" w:cs="宋体"/>
          <w:color w:val="auto"/>
          <w:sz w:val="28"/>
          <w:szCs w:val="28"/>
          <w:lang w:eastAsia="zh-CN"/>
        </w:rPr>
        <w:t>环县</w:t>
      </w:r>
      <w:r>
        <w:rPr>
          <w:rFonts w:hint="eastAsia" w:ascii="宋体" w:hAnsi="宋体" w:cs="宋体"/>
          <w:color w:val="auto"/>
          <w:sz w:val="28"/>
          <w:szCs w:val="28"/>
          <w:lang w:val="en-US" w:eastAsia="zh-CN"/>
        </w:rPr>
        <w:t>共建立4</w:t>
      </w:r>
      <w:r>
        <w:rPr>
          <w:rFonts w:hint="eastAsia" w:ascii="宋体" w:hAnsi="宋体" w:cs="宋体"/>
          <w:color w:val="auto"/>
          <w:sz w:val="28"/>
          <w:szCs w:val="28"/>
          <w:lang w:eastAsia="zh-CN"/>
        </w:rPr>
        <w:t>个巾帼扶贫车间（环县苏泰服饰有限公司巾帼扶贫车间、环县新艺地毯工贸有限责任公司巾帼扶贫车间、庆阳芳香食品加工厂环县分厂巾帼扶贫车间、甘肃诺威服装有限责任公司甜水分厂巾帼扶贫车间），主要集中在服装制造、轻工纺织、食品加工 、种植及塑料袋编织等产业，带动妇女就业760人，其中建档立卡贫困妇女536人，人均年增收1.8万元。镇远县</w:t>
      </w:r>
      <w:r>
        <w:rPr>
          <w:rFonts w:hint="eastAsia" w:ascii="宋体" w:hAnsi="宋体" w:cs="宋体"/>
          <w:color w:val="auto"/>
          <w:sz w:val="28"/>
          <w:szCs w:val="28"/>
          <w:lang w:val="en-US" w:eastAsia="zh-CN"/>
        </w:rPr>
        <w:t>共建立2</w:t>
      </w:r>
      <w:r>
        <w:rPr>
          <w:rFonts w:hint="eastAsia" w:ascii="宋体" w:hAnsi="宋体" w:cs="宋体"/>
          <w:color w:val="auto"/>
          <w:sz w:val="28"/>
          <w:szCs w:val="28"/>
          <w:lang w:eastAsia="zh-CN"/>
        </w:rPr>
        <w:t>个巾帼扶贫车间（庆阳金麦园食品有限公司巾帼扶贫车间、镇原县盛禾手套加工厂巾帼扶贫车间），巾帼扶贫车间共带动64名妇女就近务工，其中建档立卡妇女20人，人均增收1500元/月--2000元/月左右，年增收15000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巾帼扶贫车间完成情况</w:t>
      </w:r>
    </w:p>
    <w:tbl>
      <w:tblPr>
        <w:tblStyle w:val="4"/>
        <w:tblW w:w="85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58"/>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blHeader/>
        </w:trPr>
        <w:tc>
          <w:tcPr>
            <w:tcW w:w="7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市州</w:t>
            </w:r>
          </w:p>
        </w:tc>
        <w:tc>
          <w:tcPr>
            <w:tcW w:w="8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县区</w:t>
            </w:r>
          </w:p>
        </w:tc>
        <w:tc>
          <w:tcPr>
            <w:tcW w:w="69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庆阳</w:t>
            </w: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环县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环县苏泰服饰有限公司巾帼扶贫车间（环城镇）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环县新艺地毯工贸有限责任公司织毯车间（环城镇）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甘肃诺威服装有限责任公司甜水分厂（甜水镇）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庆阳芳香食品加工厂环县分厂（演武乡）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镇原县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庆阳金麦园食品有限公司巾帼扶贫车间（孟坝镇）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镇原县盛禾手套加工厂巾帼扶贫车间（屯字镇）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cs="宋体"/>
          <w:color w:val="auto"/>
          <w:sz w:val="28"/>
          <w:szCs w:val="28"/>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平凉市</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庄浪县盘安镇、郑河乡</w:t>
      </w:r>
      <w:r>
        <w:rPr>
          <w:rFonts w:hint="eastAsia" w:ascii="宋体" w:hAnsi="宋体" w:cs="宋体"/>
          <w:color w:val="auto"/>
          <w:sz w:val="28"/>
          <w:szCs w:val="28"/>
          <w:lang w:val="en-US" w:eastAsia="zh-CN"/>
        </w:rPr>
        <w:t>共建立4</w:t>
      </w:r>
      <w:r>
        <w:rPr>
          <w:rFonts w:hint="eastAsia" w:ascii="宋体" w:hAnsi="宋体" w:cs="宋体"/>
          <w:color w:val="auto"/>
          <w:sz w:val="28"/>
          <w:szCs w:val="28"/>
          <w:lang w:eastAsia="zh-CN"/>
        </w:rPr>
        <w:t>个巾帼扶贫车间（庄浪县丰秦电子电声配件加工厂、庄浪县好服来服装加工厂、庄浪县圣宝泽服饰有限公司、平凉建恒环保设备有限责任公司）。静宁县八里镇、原安镇、界石铺镇、四河镇</w:t>
      </w:r>
      <w:r>
        <w:rPr>
          <w:rFonts w:hint="eastAsia" w:ascii="宋体" w:hAnsi="宋体" w:cs="宋体"/>
          <w:color w:val="auto"/>
          <w:sz w:val="28"/>
          <w:szCs w:val="28"/>
          <w:lang w:val="en-US" w:eastAsia="zh-CN"/>
        </w:rPr>
        <w:t>共建立4</w:t>
      </w:r>
      <w:r>
        <w:rPr>
          <w:rFonts w:hint="eastAsia" w:ascii="宋体" w:hAnsi="宋体" w:cs="宋体"/>
          <w:color w:val="auto"/>
          <w:sz w:val="28"/>
          <w:szCs w:val="28"/>
          <w:lang w:eastAsia="zh-CN"/>
        </w:rPr>
        <w:t>个巾帼扶贫车间（静宁县原安镇祥益食用菌巾帼扶贫车间、静宁县四河镇小杂粮加工、静宁县泓信制衣巾帼扶贫车间、静宁县美界扶贫车间），巾帼扶贫车间共带动</w:t>
      </w:r>
      <w:r>
        <w:rPr>
          <w:rFonts w:hint="eastAsia" w:ascii="宋体" w:hAnsi="宋体" w:cs="宋体"/>
          <w:color w:val="auto"/>
          <w:sz w:val="28"/>
          <w:szCs w:val="28"/>
          <w:lang w:val="en-US" w:eastAsia="zh-CN"/>
        </w:rPr>
        <w:t>200</w:t>
      </w:r>
      <w:r>
        <w:rPr>
          <w:rFonts w:hint="eastAsia" w:ascii="宋体" w:hAnsi="宋体" w:cs="宋体"/>
          <w:color w:val="auto"/>
          <w:sz w:val="28"/>
          <w:szCs w:val="28"/>
          <w:lang w:eastAsia="zh-CN"/>
        </w:rPr>
        <w:t>名妇女就近务工，其中建档立卡妇女20</w:t>
      </w:r>
      <w:r>
        <w:rPr>
          <w:rFonts w:hint="eastAsia" w:ascii="宋体" w:hAnsi="宋体" w:cs="宋体"/>
          <w:color w:val="auto"/>
          <w:sz w:val="28"/>
          <w:szCs w:val="28"/>
          <w:lang w:val="en-US" w:eastAsia="zh-CN"/>
        </w:rPr>
        <w:t>0</w:t>
      </w:r>
      <w:r>
        <w:rPr>
          <w:rFonts w:hint="eastAsia" w:ascii="宋体" w:hAnsi="宋体" w:cs="宋体"/>
          <w:color w:val="auto"/>
          <w:sz w:val="28"/>
          <w:szCs w:val="28"/>
          <w:lang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巾帼扶贫车间完成情况</w:t>
      </w:r>
    </w:p>
    <w:tbl>
      <w:tblPr>
        <w:tblStyle w:val="4"/>
        <w:tblW w:w="85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58"/>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blHeader/>
        </w:trPr>
        <w:tc>
          <w:tcPr>
            <w:tcW w:w="7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市州</w:t>
            </w:r>
          </w:p>
        </w:tc>
        <w:tc>
          <w:tcPr>
            <w:tcW w:w="8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县区</w:t>
            </w:r>
          </w:p>
        </w:tc>
        <w:tc>
          <w:tcPr>
            <w:tcW w:w="69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平凉</w:t>
            </w: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庄浪县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庄浪县丰秦电子电声配件加工厂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庄浪县好服来服装加工厂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庄浪县圣宝泽服饰有限公司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平凉建恒环保设备有限责任公司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静宁县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静宁县原安镇祥益食用菌巾帼扶贫车间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静宁县四河镇小杂粮加工厂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静宁县泓信制衣巾帼扶贫车间（八里镇）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静宁县美界扶贫车间（界石铺镇）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cs="宋体"/>
          <w:color w:val="auto"/>
          <w:sz w:val="28"/>
          <w:szCs w:val="28"/>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eastAsia="zh-CN"/>
        </w:rPr>
        <w:t>定西市</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通渭县</w:t>
      </w:r>
      <w:r>
        <w:rPr>
          <w:rFonts w:hint="eastAsia" w:ascii="宋体" w:hAnsi="宋体" w:cs="宋体"/>
          <w:color w:val="auto"/>
          <w:sz w:val="28"/>
          <w:szCs w:val="28"/>
          <w:lang w:val="en-US" w:eastAsia="zh-CN"/>
        </w:rPr>
        <w:t>共建立4</w:t>
      </w:r>
      <w:r>
        <w:rPr>
          <w:rFonts w:hint="eastAsia" w:ascii="宋体" w:hAnsi="宋体" w:cs="宋体"/>
          <w:color w:val="auto"/>
          <w:sz w:val="28"/>
          <w:szCs w:val="28"/>
          <w:lang w:eastAsia="zh-CN"/>
        </w:rPr>
        <w:t>个巾帼扶贫车间（甘肃宏锐服饰有限公司常河镇直湾村扶贫车间、万通服饰有限公司什川镇扶贫车间、通渭县鑫旺林果扶贫车间），签订6个月以上劳动合同的建档立卡贫困妇女岗前技能培训补助和开展妇联“五个一”活动。进一步提高贫困妇女专业技能水平，有效解决车间普工短缺、高级工少的实际问题。岷县用于在十里镇、茶埠镇、维新镇 4 个乡镇 4 家“巾帼扶贫车间”签订6 个月以上劳动合同的建档立卡贫困妇女岗前技能培训补助。进一步提高贫困妇女专业技能水平，有效解决车间普工短缺、高级工少的实际问题。渭源县上湾、清源、大安3个乡镇</w:t>
      </w:r>
      <w:r>
        <w:rPr>
          <w:rFonts w:hint="eastAsia" w:ascii="宋体" w:hAnsi="宋体" w:cs="宋体"/>
          <w:color w:val="auto"/>
          <w:sz w:val="28"/>
          <w:szCs w:val="28"/>
          <w:lang w:val="en-US" w:eastAsia="zh-CN"/>
        </w:rPr>
        <w:t>共建立4</w:t>
      </w:r>
      <w:r>
        <w:rPr>
          <w:rFonts w:hint="eastAsia" w:ascii="宋体" w:hAnsi="宋体" w:cs="宋体"/>
          <w:color w:val="auto"/>
          <w:sz w:val="28"/>
          <w:szCs w:val="28"/>
          <w:lang w:eastAsia="zh-CN"/>
        </w:rPr>
        <w:t>个巾帼扶贫车间（大安乡顺盈家纺扶贫车间、大安乡畜草加工扶贫车间、甘肃田地白家食品有限责任公司扶贫车间、上湾镇巾帼扶贫车间）。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巾帼扶贫车间完成情况</w:t>
      </w:r>
    </w:p>
    <w:tbl>
      <w:tblPr>
        <w:tblStyle w:val="4"/>
        <w:tblW w:w="85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58"/>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blHeader/>
        </w:trPr>
        <w:tc>
          <w:tcPr>
            <w:tcW w:w="7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市州</w:t>
            </w:r>
          </w:p>
        </w:tc>
        <w:tc>
          <w:tcPr>
            <w:tcW w:w="8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县区</w:t>
            </w:r>
          </w:p>
        </w:tc>
        <w:tc>
          <w:tcPr>
            <w:tcW w:w="69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定西</w:t>
            </w: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通渭县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万通服饰有限公司什川镇扶贫车间（什川镇）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春蕾服装巾帼扶贫车间（平襄镇）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通渭县鑫旺林果巾帼扶贫车间（鸡川镇）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甘肃宏锐服饰有限公司常河镇直湾村扶贫车间（常河镇）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岷  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岷县燎原中药材加工合作社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岷县裕民隆种养殖农民专业合作社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岷县福才食用菌栽培专业合作社（十里镇）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岷县归芪堂药业有限公司（茶埠镇）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渭源县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大安乡顺盈家纺扶贫车间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大安乡蓄草加工扶贫车间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甘肃田地白家食品有限责任公司扶贫车间（清源镇）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上湾镇巾帼扶贫车间（上湾镇）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
          <w:color w:val="auto"/>
          <w:sz w:val="28"/>
          <w:szCs w:val="28"/>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val="en-US" w:eastAsia="zh-CN"/>
        </w:rPr>
        <w:t>天水市</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eastAsia="zh-CN"/>
        </w:rPr>
        <w:t>麦积区五龙镇</w:t>
      </w:r>
      <w:r>
        <w:rPr>
          <w:rFonts w:hint="eastAsia" w:ascii="宋体" w:hAnsi="宋体" w:cs="宋体"/>
          <w:color w:val="auto"/>
          <w:sz w:val="28"/>
          <w:szCs w:val="28"/>
          <w:lang w:val="en-US" w:eastAsia="zh-CN"/>
        </w:rPr>
        <w:t>共建立2</w:t>
      </w:r>
      <w:r>
        <w:rPr>
          <w:rFonts w:hint="eastAsia" w:ascii="宋体" w:hAnsi="宋体" w:cs="宋体"/>
          <w:color w:val="auto"/>
          <w:sz w:val="28"/>
          <w:szCs w:val="28"/>
          <w:lang w:eastAsia="zh-CN"/>
        </w:rPr>
        <w:t>个巾帼扶贫车间（天水市麦积区五龙镇岳家湾村扶贫车间、天水市麦积区五龙镇巾帼扶贫车间），签订6个月以上劳动合同的建档立卡贫困妇女岗前技能培训补助和开展妇联“五个一”活动。进一步提高贫困妇女专业技能水平，有效解决车间普工短缺、高级工少的实际问题。秦安县中山镇、王铺镇共建立</w:t>
      </w:r>
      <w:r>
        <w:rPr>
          <w:rFonts w:hint="eastAsia" w:ascii="宋体" w:hAnsi="宋体" w:cs="宋体"/>
          <w:color w:val="auto"/>
          <w:sz w:val="28"/>
          <w:szCs w:val="28"/>
          <w:lang w:val="en-US" w:eastAsia="zh-CN"/>
        </w:rPr>
        <w:t>4个巾帼扶贫车间</w:t>
      </w:r>
      <w:r>
        <w:rPr>
          <w:rFonts w:hint="eastAsia" w:ascii="宋体" w:hAnsi="宋体" w:cs="宋体"/>
          <w:color w:val="auto"/>
          <w:sz w:val="28"/>
          <w:szCs w:val="28"/>
          <w:lang w:eastAsia="zh-CN"/>
        </w:rPr>
        <w:t>（秦安县王燕种植农业有限公司合作社巾帼扶贫车间、秦安县鑫农农业种养殖农民合作社巾帼扶贫车间、秦安县新家腾制衣有限公司巾帼扶贫车间、秦安县满盛生物资源开发利用农民专业合作社巾帼扶贫车间）。张家川县共建立</w:t>
      </w:r>
      <w:r>
        <w:rPr>
          <w:rFonts w:hint="eastAsia" w:ascii="宋体" w:hAnsi="宋体" w:cs="宋体"/>
          <w:color w:val="auto"/>
          <w:sz w:val="28"/>
          <w:szCs w:val="28"/>
          <w:lang w:val="en-US" w:eastAsia="zh-CN"/>
        </w:rPr>
        <w:t>4个</w:t>
      </w:r>
      <w:r>
        <w:rPr>
          <w:rFonts w:hint="eastAsia" w:ascii="宋体" w:hAnsi="宋体" w:cs="宋体"/>
          <w:color w:val="auto"/>
          <w:sz w:val="28"/>
          <w:szCs w:val="28"/>
          <w:lang w:eastAsia="zh-CN"/>
        </w:rPr>
        <w:t>巾帼扶贫车间（甘肃博莱雅服饰有限公司巾帼扶贫车间、上磨村银润服饰巾帼扶贫车间、西窑村雄峰电子巾帼扶贫车间、张家川县思齐服饰加工厂）。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巾帼扶贫车间完成情况</w:t>
      </w:r>
    </w:p>
    <w:tbl>
      <w:tblPr>
        <w:tblStyle w:val="4"/>
        <w:tblW w:w="85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005"/>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blHeader/>
        </w:trPr>
        <w:tc>
          <w:tcPr>
            <w:tcW w:w="7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市州</w:t>
            </w:r>
          </w:p>
        </w:tc>
        <w:tc>
          <w:tcPr>
            <w:tcW w:w="1005"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县区</w:t>
            </w:r>
          </w:p>
        </w:tc>
        <w:tc>
          <w:tcPr>
            <w:tcW w:w="681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天水</w:t>
            </w:r>
          </w:p>
        </w:tc>
        <w:tc>
          <w:tcPr>
            <w:tcW w:w="1005"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麦积区</w:t>
            </w:r>
          </w:p>
        </w:tc>
        <w:tc>
          <w:tcPr>
            <w:tcW w:w="6813"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天水市麦积区五龙镇岳家湾村扶贫车间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1005" w:type="dxa"/>
            <w:vMerge w:val="continue"/>
            <w:vAlign w:val="center"/>
          </w:tcPr>
          <w:p>
            <w:pPr>
              <w:spacing w:line="240" w:lineRule="auto"/>
              <w:jc w:val="center"/>
              <w:rPr>
                <w:rFonts w:hint="eastAsia" w:ascii="宋体" w:hAnsi="宋体" w:eastAsia="宋体" w:cs="宋体"/>
                <w:sz w:val="24"/>
                <w:szCs w:val="24"/>
              </w:rPr>
            </w:pPr>
          </w:p>
        </w:tc>
        <w:tc>
          <w:tcPr>
            <w:tcW w:w="6813"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天水市麦积区五龙镇</w:t>
            </w:r>
            <w:r>
              <w:rPr>
                <w:rFonts w:hint="eastAsia" w:ascii="宋体" w:hAnsi="宋体" w:cs="宋体"/>
                <w:sz w:val="24"/>
                <w:szCs w:val="24"/>
                <w:lang w:val="en-US" w:eastAsia="zh-CN"/>
              </w:rPr>
              <w:t>巾帼</w:t>
            </w:r>
            <w:r>
              <w:rPr>
                <w:rFonts w:hint="eastAsia" w:ascii="宋体" w:hAnsi="宋体" w:eastAsia="宋体" w:cs="宋体"/>
                <w:sz w:val="24"/>
                <w:szCs w:val="24"/>
              </w:rPr>
              <w:t>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1005"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秦安县</w:t>
            </w:r>
          </w:p>
        </w:tc>
        <w:tc>
          <w:tcPr>
            <w:tcW w:w="6813"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秦安县王燕种植农业有限公司合作社巾帼扶贫车间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1005" w:type="dxa"/>
            <w:vMerge w:val="continue"/>
            <w:vAlign w:val="center"/>
          </w:tcPr>
          <w:p>
            <w:pPr>
              <w:spacing w:line="240" w:lineRule="auto"/>
              <w:jc w:val="center"/>
              <w:rPr>
                <w:rFonts w:hint="eastAsia" w:ascii="宋体" w:hAnsi="宋体" w:eastAsia="宋体" w:cs="宋体"/>
                <w:sz w:val="24"/>
                <w:szCs w:val="24"/>
              </w:rPr>
            </w:pPr>
          </w:p>
        </w:tc>
        <w:tc>
          <w:tcPr>
            <w:tcW w:w="6813"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秦安县鑫农农业种养殖农民合作社巾帼扶贫车间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1005" w:type="dxa"/>
            <w:vMerge w:val="continue"/>
            <w:vAlign w:val="center"/>
          </w:tcPr>
          <w:p>
            <w:pPr>
              <w:spacing w:line="240" w:lineRule="auto"/>
              <w:jc w:val="center"/>
              <w:rPr>
                <w:rFonts w:hint="eastAsia" w:ascii="宋体" w:hAnsi="宋体" w:eastAsia="宋体" w:cs="宋体"/>
                <w:sz w:val="24"/>
                <w:szCs w:val="24"/>
              </w:rPr>
            </w:pPr>
          </w:p>
        </w:tc>
        <w:tc>
          <w:tcPr>
            <w:tcW w:w="6813"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秦安县新家腾制衣有限公司巾帼扶贫车间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1005" w:type="dxa"/>
            <w:vMerge w:val="continue"/>
            <w:vAlign w:val="center"/>
          </w:tcPr>
          <w:p>
            <w:pPr>
              <w:spacing w:line="240" w:lineRule="auto"/>
              <w:jc w:val="center"/>
              <w:rPr>
                <w:rFonts w:hint="eastAsia" w:ascii="宋体" w:hAnsi="宋体" w:eastAsia="宋体" w:cs="宋体"/>
                <w:sz w:val="24"/>
                <w:szCs w:val="24"/>
              </w:rPr>
            </w:pPr>
          </w:p>
        </w:tc>
        <w:tc>
          <w:tcPr>
            <w:tcW w:w="6813"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秦安县满盛生物资源开发利用农民专业合作社巾帼扶贫车间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1005"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张家川县</w:t>
            </w:r>
          </w:p>
        </w:tc>
        <w:tc>
          <w:tcPr>
            <w:tcW w:w="6813"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甘肃博莱雅服饰有限公司巾帼扶贫车间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1005" w:type="dxa"/>
            <w:vMerge w:val="continue"/>
            <w:vAlign w:val="center"/>
          </w:tcPr>
          <w:p>
            <w:pPr>
              <w:spacing w:line="240" w:lineRule="auto"/>
              <w:jc w:val="center"/>
              <w:rPr>
                <w:rFonts w:hint="eastAsia" w:ascii="宋体" w:hAnsi="宋体" w:eastAsia="宋体" w:cs="宋体"/>
                <w:sz w:val="24"/>
                <w:szCs w:val="24"/>
              </w:rPr>
            </w:pPr>
          </w:p>
        </w:tc>
        <w:tc>
          <w:tcPr>
            <w:tcW w:w="6813"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上磨村银润服饰巾帼扶贫车间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1005" w:type="dxa"/>
            <w:vMerge w:val="continue"/>
            <w:vAlign w:val="center"/>
          </w:tcPr>
          <w:p>
            <w:pPr>
              <w:spacing w:line="240" w:lineRule="auto"/>
              <w:jc w:val="center"/>
              <w:rPr>
                <w:rFonts w:hint="eastAsia" w:ascii="宋体" w:hAnsi="宋体" w:eastAsia="宋体" w:cs="宋体"/>
                <w:sz w:val="24"/>
                <w:szCs w:val="24"/>
              </w:rPr>
            </w:pPr>
          </w:p>
        </w:tc>
        <w:tc>
          <w:tcPr>
            <w:tcW w:w="6813" w:type="dxa"/>
            <w:vAlign w:val="center"/>
          </w:tcPr>
          <w:p>
            <w:pPr>
              <w:spacing w:line="240" w:lineRule="auto"/>
              <w:rPr>
                <w:rFonts w:hint="eastAsia" w:ascii="宋体" w:hAnsi="宋体" w:eastAsia="宋体" w:cs="宋体"/>
                <w:sz w:val="24"/>
                <w:szCs w:val="24"/>
                <w:lang w:eastAsia="zh-CN"/>
              </w:rPr>
            </w:pPr>
            <w:r>
              <w:rPr>
                <w:rFonts w:hint="eastAsia" w:ascii="宋体" w:hAnsi="宋体" w:cs="宋体"/>
                <w:sz w:val="24"/>
                <w:szCs w:val="24"/>
                <w:lang w:eastAsia="zh-CN"/>
              </w:rPr>
              <w:t>张家川张川镇西窑村雄峰电子巾帼扶贫车间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1005" w:type="dxa"/>
            <w:vMerge w:val="continue"/>
            <w:vAlign w:val="center"/>
          </w:tcPr>
          <w:p>
            <w:pPr>
              <w:spacing w:line="240" w:lineRule="auto"/>
              <w:jc w:val="center"/>
              <w:rPr>
                <w:rFonts w:hint="eastAsia" w:ascii="宋体" w:hAnsi="宋体" w:eastAsia="宋体" w:cs="宋体"/>
                <w:sz w:val="24"/>
                <w:szCs w:val="24"/>
              </w:rPr>
            </w:pPr>
          </w:p>
        </w:tc>
        <w:tc>
          <w:tcPr>
            <w:tcW w:w="6813"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张家川县思齐服饰加工厂</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cs="宋体"/>
          <w:color w:val="auto"/>
          <w:sz w:val="28"/>
          <w:szCs w:val="28"/>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陇南市</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武都区</w:t>
      </w:r>
      <w:r>
        <w:rPr>
          <w:rFonts w:hint="eastAsia" w:ascii="宋体" w:hAnsi="宋体" w:cs="宋体"/>
          <w:color w:val="auto"/>
          <w:sz w:val="28"/>
          <w:szCs w:val="28"/>
          <w:lang w:val="en-US" w:eastAsia="zh-CN"/>
        </w:rPr>
        <w:t>共建立7</w:t>
      </w:r>
      <w:r>
        <w:rPr>
          <w:rFonts w:hint="eastAsia" w:ascii="宋体" w:hAnsi="宋体" w:cs="宋体"/>
          <w:color w:val="auto"/>
          <w:sz w:val="28"/>
          <w:szCs w:val="28"/>
          <w:lang w:eastAsia="zh-CN"/>
        </w:rPr>
        <w:t>个巾帼扶贫车间（石门镇兰州耐特服饰有限公司武都区生产基地、陇南市武都区花荠养蜂农民专业合作社、陇南市莲华兆瑞商贸有限责任公司、陇南双沟生态农业科技有限公司、陇江家庭农场、陇南市武都区富民种植农民专业合作社 、甘肃省青叶子服饰有限责任公司），带动妇女就业867人，平均增收2000元，有效解决了贫困妇女下地种田、上班挣钱、照顾家庭的三方矛盾，带贫效果明显。宕昌县共建立</w:t>
      </w:r>
      <w:r>
        <w:rPr>
          <w:rFonts w:hint="eastAsia" w:ascii="宋体" w:hAnsi="宋体" w:cs="宋体"/>
          <w:color w:val="auto"/>
          <w:sz w:val="28"/>
          <w:szCs w:val="28"/>
          <w:lang w:val="en-US" w:eastAsia="zh-CN"/>
        </w:rPr>
        <w:t>4个巾帼扶贫车间</w:t>
      </w:r>
      <w:r>
        <w:rPr>
          <w:rFonts w:hint="eastAsia" w:ascii="宋体" w:hAnsi="宋体" w:cs="宋体"/>
          <w:color w:val="auto"/>
          <w:sz w:val="28"/>
          <w:szCs w:val="28"/>
          <w:lang w:eastAsia="zh-CN"/>
        </w:rPr>
        <w:t>（宕昌县石院富民种植农民专业合作社、宕昌县沙湾镇沙坝村荣成蔬菜种植农民专业合作社、宕昌县兴化乡“七星”黑猪加工扶贫车间、宕昌县狮子乡阴山沟村恒鑫中药材种植农民专业合作社）。西和县共建立</w:t>
      </w:r>
      <w:r>
        <w:rPr>
          <w:rFonts w:hint="eastAsia" w:ascii="宋体" w:hAnsi="宋体" w:cs="宋体"/>
          <w:color w:val="auto"/>
          <w:sz w:val="28"/>
          <w:szCs w:val="28"/>
          <w:lang w:val="en-US" w:eastAsia="zh-CN"/>
        </w:rPr>
        <w:t>4个</w:t>
      </w:r>
      <w:r>
        <w:rPr>
          <w:rFonts w:hint="eastAsia" w:ascii="宋体" w:hAnsi="宋体" w:cs="宋体"/>
          <w:color w:val="auto"/>
          <w:sz w:val="28"/>
          <w:szCs w:val="28"/>
          <w:lang w:eastAsia="zh-CN"/>
        </w:rPr>
        <w:t>巾帼扶贫车间（西和县荣益达洛峪扶贫工厂、西和县花伟艺绣手工艺品有限公司、西和县美辰服装有限公司巾帼扶贫车间、西和县巧女旅游文化有限责任公司）。礼县共建立</w:t>
      </w:r>
      <w:r>
        <w:rPr>
          <w:rFonts w:hint="eastAsia" w:ascii="宋体" w:hAnsi="宋体" w:cs="宋体"/>
          <w:color w:val="auto"/>
          <w:sz w:val="28"/>
          <w:szCs w:val="28"/>
          <w:lang w:val="en-US" w:eastAsia="zh-CN"/>
        </w:rPr>
        <w:t>4个</w:t>
      </w:r>
      <w:r>
        <w:rPr>
          <w:rFonts w:hint="eastAsia" w:ascii="宋体" w:hAnsi="宋体" w:cs="宋体"/>
          <w:color w:val="auto"/>
          <w:sz w:val="28"/>
          <w:szCs w:val="28"/>
          <w:lang w:eastAsia="zh-CN"/>
        </w:rPr>
        <w:t>巾帼扶贫车间（礼县兴亮种植养殖农民专业合作社巾帼扶贫车间、礼县邦农种植农民专业合作社巾帼扶贫车间、礼县鑫桥服饰有限责任公司巾帼扶贫车间、礼县童心种植养殖农民专业合作社巾帼扶贫车间）签订6个月以上劳动合同的建档立卡贫困妇女岗前技能培训补助和车间妇女组织开展妇联工作，该补助资金将极大力鼓励企业、合作社吸纳更多贫困妇女就近就业助力脱贫攻坚的热情。文县共建立</w:t>
      </w:r>
      <w:r>
        <w:rPr>
          <w:rFonts w:hint="eastAsia" w:ascii="宋体" w:hAnsi="宋体" w:cs="宋体"/>
          <w:color w:val="auto"/>
          <w:sz w:val="28"/>
          <w:szCs w:val="28"/>
          <w:lang w:val="en-US" w:eastAsia="zh-CN"/>
        </w:rPr>
        <w:t>4个</w:t>
      </w:r>
      <w:r>
        <w:rPr>
          <w:rFonts w:hint="eastAsia" w:ascii="宋体" w:hAnsi="宋体" w:cs="宋体"/>
          <w:color w:val="auto"/>
          <w:sz w:val="28"/>
          <w:szCs w:val="28"/>
          <w:lang w:eastAsia="zh-CN"/>
        </w:rPr>
        <w:t>巾帼扶贫车间（文县嘉诚农副产品有限公司、文县中寨纹党产区代元有限公司、文县金卓包装有限公司、甘肃让水河农业有限公司）签订6个月以上劳动合同的建档立卡贫困妇女岗前技能培训补助和车间妇女组织开展妇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巾帼扶贫车间完成情况</w:t>
      </w:r>
    </w:p>
    <w:tbl>
      <w:tblPr>
        <w:tblStyle w:val="4"/>
        <w:tblW w:w="85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58"/>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blHeader/>
        </w:trPr>
        <w:tc>
          <w:tcPr>
            <w:tcW w:w="7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市州</w:t>
            </w:r>
          </w:p>
        </w:tc>
        <w:tc>
          <w:tcPr>
            <w:tcW w:w="8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县区</w:t>
            </w:r>
          </w:p>
        </w:tc>
        <w:tc>
          <w:tcPr>
            <w:tcW w:w="69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restart"/>
            <w:vAlign w:val="center"/>
          </w:tcPr>
          <w:p>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陇南</w:t>
            </w:r>
          </w:p>
        </w:tc>
        <w:tc>
          <w:tcPr>
            <w:tcW w:w="858" w:type="dxa"/>
            <w:vMerge w:val="restart"/>
            <w:vAlign w:val="center"/>
          </w:tcPr>
          <w:p>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武都区</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陇南市武都区花荠养蜂农民专业合作社巾帼扶贫车间(石门镇）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陇南市陇江家庭农场巾帼扶贫车间(石门镇）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陇南市莲华兆瑞商贸有限责任公司巾帼扶贫车间（坪垭藏族乡）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陇南市双沟生态农业科技有限公司巾帼扶贫车间（甘泉镇）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宕昌县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宕昌县石院富民种植农民专业合作社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宕昌县沙湾镇沙坝村荣成蔬菜种植农民专业合作社（沙湾镇）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宕昌县兴化乡“七星”黑猪加工扶贫车间（兴化乡）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宕昌县狮子乡阴山沟村恒鑫中药材种植农民专业合作社（狮子乡）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西和县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西和县荣益达洛峪扶贫工厂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西和县花伟艺绣手工艺品有限公司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西和县美辰服装有限公司巾帼扶贫车间（汉源镇）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西和县巧女旅游文化有限责任公司（稍峪镇）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礼  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礼县兴亮种植养殖农民专业合作社巾帼扶贫车间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礼县邦农种植农民专业合作社巾帼扶贫车间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礼县鑫桥服饰有限责任公司巾帼扶贫车间（城关镇）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礼县童心种植养殖农民专业合作社巾帼扶贫车间（永坪镇）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文  县</w:t>
            </w:r>
          </w:p>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甘肃让水河农业有限公司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文县中寨纹党产区代元有限公司（中寨镇）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文县嘉诚农副产品加工有限公司（城关镇）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文县金卓包装有限责任公司（临江镇）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cs="宋体"/>
          <w:color w:val="auto"/>
          <w:sz w:val="28"/>
          <w:szCs w:val="28"/>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val="en-US" w:eastAsia="zh-CN"/>
        </w:rPr>
        <w:t>临夏州：</w:t>
      </w:r>
      <w:r>
        <w:rPr>
          <w:rFonts w:hint="eastAsia" w:ascii="宋体" w:hAnsi="宋体" w:cs="宋体"/>
          <w:color w:val="auto"/>
          <w:sz w:val="28"/>
          <w:szCs w:val="28"/>
          <w:lang w:eastAsia="zh-CN"/>
        </w:rPr>
        <w:t>东乡县五龙镇</w:t>
      </w:r>
      <w:r>
        <w:rPr>
          <w:rFonts w:hint="eastAsia" w:ascii="宋体" w:hAnsi="宋体" w:cs="宋体"/>
          <w:color w:val="auto"/>
          <w:sz w:val="28"/>
          <w:szCs w:val="28"/>
          <w:lang w:val="en-US" w:eastAsia="zh-CN"/>
        </w:rPr>
        <w:t>共建立4</w:t>
      </w:r>
      <w:r>
        <w:rPr>
          <w:rFonts w:hint="eastAsia" w:ascii="宋体" w:hAnsi="宋体" w:cs="宋体"/>
          <w:color w:val="auto"/>
          <w:sz w:val="28"/>
          <w:szCs w:val="28"/>
          <w:lang w:eastAsia="zh-CN"/>
        </w:rPr>
        <w:t>个巾帼扶贫车间（诚福祥布鞋扶贫车间、龙泉镇拱北湾扶贫车间、罗家村扶贫车间、土本土刺绣扶贫车间），共计培训317人次,建档立卡贫困妇女人数132人，占实际总人数的41％。参加培训的妇女通过学习技能，实现人均增收1000—2500元。积石山县共建立</w:t>
      </w:r>
      <w:r>
        <w:rPr>
          <w:rFonts w:hint="eastAsia" w:ascii="宋体" w:hAnsi="宋体" w:cs="宋体"/>
          <w:color w:val="auto"/>
          <w:sz w:val="28"/>
          <w:szCs w:val="28"/>
          <w:lang w:val="en-US" w:eastAsia="zh-CN"/>
        </w:rPr>
        <w:t>4个巾帼扶贫车间</w:t>
      </w:r>
      <w:r>
        <w:rPr>
          <w:rFonts w:hint="eastAsia" w:ascii="宋体" w:hAnsi="宋体" w:cs="宋体"/>
          <w:color w:val="auto"/>
          <w:sz w:val="28"/>
          <w:szCs w:val="28"/>
          <w:lang w:eastAsia="zh-CN"/>
        </w:rPr>
        <w:t>（积石山县小关乡永美布鞋加工巾帼扶贫车间、积石山县小关乡小关村巾帼扶贫车间、大河家镇叶之漫服装加工巾帼扶贫车间、大河家保安族民族服饰刺绣加工巾帼扶贫车间）。永靖县共建立</w:t>
      </w:r>
      <w:r>
        <w:rPr>
          <w:rFonts w:hint="eastAsia" w:ascii="宋体" w:hAnsi="宋体" w:cs="宋体"/>
          <w:color w:val="auto"/>
          <w:sz w:val="28"/>
          <w:szCs w:val="28"/>
          <w:lang w:val="en-US" w:eastAsia="zh-CN"/>
        </w:rPr>
        <w:t>2个</w:t>
      </w:r>
      <w:r>
        <w:rPr>
          <w:rFonts w:hint="eastAsia" w:ascii="宋体" w:hAnsi="宋体" w:cs="宋体"/>
          <w:color w:val="auto"/>
          <w:sz w:val="28"/>
          <w:szCs w:val="28"/>
          <w:lang w:eastAsia="zh-CN"/>
        </w:rPr>
        <w:t>巾帼扶贫车间（永靖县富景种植农民专业合作社、永靖县蓝易服装皮业有限公司巾帼扶贫车间）。建档立卡贫困妇女占就业人数32%，车间就业妇女人均年增收15000元以上。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巾帼扶贫车间完成情况</w:t>
      </w:r>
    </w:p>
    <w:tbl>
      <w:tblPr>
        <w:tblStyle w:val="4"/>
        <w:tblW w:w="85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58"/>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blHeader/>
        </w:trPr>
        <w:tc>
          <w:tcPr>
            <w:tcW w:w="7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市州</w:t>
            </w:r>
          </w:p>
        </w:tc>
        <w:tc>
          <w:tcPr>
            <w:tcW w:w="8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县区</w:t>
            </w:r>
          </w:p>
        </w:tc>
        <w:tc>
          <w:tcPr>
            <w:tcW w:w="69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临夏</w:t>
            </w: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东乡县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诚福祥布鞋扶贫车间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龙泉镇拱北湾扶贫车间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罗家村扶贫车间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土本土刺绣扶贫车间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积石山县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积石山县小关乡永美布鞋加工巾帼扶贫车间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积石山县小关乡小关村巾帼扶贫车间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积石山县大河家叶之漫巾帼扶贫车间（大河家镇）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积石山县保安族族丝丝绣厂巾帼扶贫车间（大河家镇）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永靖县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永靖县富景种植农民专业合作社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永靖县蓝易服装皮业有限公司巾帼扶贫车间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9</w:t>
      </w:r>
      <w:r>
        <w:rPr>
          <w:rFonts w:hint="eastAsia" w:ascii="宋体" w:hAnsi="宋体" w:cs="宋体"/>
          <w:color w:val="auto"/>
          <w:sz w:val="28"/>
          <w:szCs w:val="28"/>
          <w:lang w:eastAsia="zh-CN"/>
        </w:rPr>
        <w:t>）甘南州</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临潭县</w:t>
      </w:r>
      <w:r>
        <w:rPr>
          <w:rFonts w:hint="eastAsia" w:ascii="宋体" w:hAnsi="宋体" w:cs="宋体"/>
          <w:color w:val="auto"/>
          <w:sz w:val="28"/>
          <w:szCs w:val="28"/>
          <w:lang w:val="en-US" w:eastAsia="zh-CN"/>
        </w:rPr>
        <w:t>共建立2</w:t>
      </w:r>
      <w:r>
        <w:rPr>
          <w:rFonts w:hint="eastAsia" w:ascii="宋体" w:hAnsi="宋体" w:cs="宋体"/>
          <w:color w:val="auto"/>
          <w:sz w:val="28"/>
          <w:szCs w:val="28"/>
          <w:lang w:eastAsia="zh-CN"/>
        </w:rPr>
        <w:t>个巾帼扶贫车间（洮艺芭手绣加工有限公司、盛民纺织品加工有限责任公司）。舟曲县共建立</w:t>
      </w:r>
      <w:r>
        <w:rPr>
          <w:rFonts w:hint="eastAsia" w:ascii="宋体" w:hAnsi="宋体" w:cs="宋体"/>
          <w:color w:val="auto"/>
          <w:sz w:val="28"/>
          <w:szCs w:val="28"/>
          <w:lang w:val="en-US" w:eastAsia="zh-CN"/>
        </w:rPr>
        <w:t>2个巾帼扶贫车间</w:t>
      </w:r>
      <w:r>
        <w:rPr>
          <w:rFonts w:hint="eastAsia" w:ascii="宋体" w:hAnsi="宋体" w:cs="宋体"/>
          <w:color w:val="auto"/>
          <w:sz w:val="28"/>
          <w:szCs w:val="28"/>
          <w:lang w:eastAsia="zh-CN"/>
        </w:rPr>
        <w:t>（果耶镇甘子沟村红阳综合养殖农民专业合作社、果耶镇果耶村新华种植农民专业合作社），带动就业</w:t>
      </w:r>
      <w:r>
        <w:rPr>
          <w:rFonts w:hint="eastAsia" w:ascii="宋体" w:hAnsi="宋体" w:cs="宋体"/>
          <w:color w:val="auto"/>
          <w:sz w:val="28"/>
          <w:szCs w:val="28"/>
          <w:lang w:val="en-US" w:eastAsia="zh-CN"/>
        </w:rPr>
        <w:t>75</w:t>
      </w:r>
      <w:r>
        <w:rPr>
          <w:rFonts w:hint="eastAsia" w:ascii="宋体" w:hAnsi="宋体" w:cs="宋体"/>
          <w:color w:val="auto"/>
          <w:sz w:val="28"/>
          <w:szCs w:val="28"/>
          <w:lang w:eastAsia="zh-CN"/>
        </w:rPr>
        <w:t>人，其中带动建档立卡贫困妇女</w:t>
      </w:r>
      <w:r>
        <w:rPr>
          <w:rFonts w:hint="eastAsia" w:ascii="宋体" w:hAnsi="宋体" w:cs="宋体"/>
          <w:color w:val="auto"/>
          <w:sz w:val="28"/>
          <w:szCs w:val="28"/>
          <w:lang w:val="en-US" w:eastAsia="zh-CN"/>
        </w:rPr>
        <w:t>27</w:t>
      </w:r>
      <w:r>
        <w:rPr>
          <w:rFonts w:hint="eastAsia" w:ascii="宋体" w:hAnsi="宋体" w:cs="宋体"/>
          <w:color w:val="auto"/>
          <w:sz w:val="28"/>
          <w:szCs w:val="28"/>
          <w:lang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巾帼扶贫车间完成情况</w:t>
      </w:r>
    </w:p>
    <w:tbl>
      <w:tblPr>
        <w:tblStyle w:val="4"/>
        <w:tblW w:w="85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58"/>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blHeader/>
        </w:trPr>
        <w:tc>
          <w:tcPr>
            <w:tcW w:w="7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市州</w:t>
            </w:r>
          </w:p>
        </w:tc>
        <w:tc>
          <w:tcPr>
            <w:tcW w:w="85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县区</w:t>
            </w:r>
          </w:p>
        </w:tc>
        <w:tc>
          <w:tcPr>
            <w:tcW w:w="69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甘南州</w:t>
            </w: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临潭县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临潭县洮绣传承开发有限责任公司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center"/>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临潭县盛民纺织品加工有限责任公司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top"/>
          </w:tcPr>
          <w:p>
            <w:pPr>
              <w:spacing w:line="240" w:lineRule="auto"/>
              <w:jc w:val="center"/>
              <w:rPr>
                <w:rFonts w:hint="eastAsia" w:ascii="宋体" w:hAnsi="宋体" w:eastAsia="宋体" w:cs="宋体"/>
                <w:sz w:val="24"/>
                <w:szCs w:val="24"/>
              </w:rPr>
            </w:pPr>
          </w:p>
        </w:tc>
        <w:tc>
          <w:tcPr>
            <w:tcW w:w="858"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舟曲县</w:t>
            </w: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舟曲县果耶镇果耶村新华综合种养殖农民专业合作社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58" w:type="dxa"/>
            <w:vMerge w:val="continue"/>
            <w:vAlign w:val="top"/>
          </w:tcPr>
          <w:p>
            <w:pPr>
              <w:spacing w:line="240" w:lineRule="auto"/>
              <w:jc w:val="center"/>
              <w:rPr>
                <w:rFonts w:hint="eastAsia" w:ascii="宋体" w:hAnsi="宋体" w:eastAsia="宋体" w:cs="宋体"/>
                <w:sz w:val="24"/>
                <w:szCs w:val="24"/>
              </w:rPr>
            </w:pPr>
          </w:p>
        </w:tc>
        <w:tc>
          <w:tcPr>
            <w:tcW w:w="858" w:type="dxa"/>
            <w:vMerge w:val="continue"/>
            <w:vAlign w:val="center"/>
          </w:tcPr>
          <w:p>
            <w:pPr>
              <w:spacing w:line="240" w:lineRule="auto"/>
              <w:jc w:val="center"/>
              <w:rPr>
                <w:rFonts w:hint="eastAsia" w:ascii="宋体" w:hAnsi="宋体" w:eastAsia="宋体" w:cs="宋体"/>
                <w:sz w:val="24"/>
                <w:szCs w:val="24"/>
              </w:rPr>
            </w:pPr>
          </w:p>
        </w:tc>
        <w:tc>
          <w:tcPr>
            <w:tcW w:w="6960"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舟曲县果耶乡甘子沟村红阳综合养殖农民专业合作社</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8"/>
          <w:szCs w:val="28"/>
          <w:lang w:val="en-US" w:eastAsia="zh-CN"/>
        </w:rPr>
      </w:pPr>
    </w:p>
    <w:p>
      <w:pPr>
        <w:widowControl/>
        <w:numPr>
          <w:ilvl w:val="0"/>
          <w:numId w:val="4"/>
        </w:numPr>
        <w:spacing w:line="480" w:lineRule="auto"/>
        <w:ind w:left="0" w:leftChars="0" w:firstLine="557" w:firstLineChars="198"/>
        <w:rPr>
          <w:rFonts w:hint="eastAsia" w:ascii="宋体" w:hAnsi="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经费来源和使用情况</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《甘肃省财政厅关于下达2019年“巾帼扶贫车间”专项资金的通知》（甘财行[2019]21号）下达财政专项扶贫资金1000万元。</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1）省妇联本级600万元，425万元用于扶持带贫能力强的“巾帼扶贫车间”71个；40万元用于开展兰州牛肉面女拉面师创业就业培训；10万元用于第三方财政资金绩效评价；2.9648万元用于组织车间负责人前往义乌对接产品订单；122.0352万元用于开展全省“巾帼扶贫车间”骨干培训，截至2019年12月31日，全部支出，实现零结余。</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（2）县级巾帼扶贫车间400万元，下拨给九个市州23个县区，具体</w:t>
      </w:r>
      <w:r>
        <w:rPr>
          <w:rFonts w:hint="eastAsia" w:ascii="宋体" w:hAnsi="宋体" w:eastAsia="宋体" w:cs="宋体"/>
          <w:b w:val="0"/>
          <w:bCs w:val="0"/>
          <w:color w:val="auto"/>
          <w:sz w:val="28"/>
          <w:szCs w:val="28"/>
          <w:lang w:val="en-US" w:eastAsia="zh-CN"/>
        </w:rPr>
        <w:t>经费来源和使用情况如图所示：</w:t>
      </w:r>
    </w:p>
    <w:tbl>
      <w:tblPr>
        <w:tblStyle w:val="4"/>
        <w:tblpPr w:leftFromText="180" w:rightFromText="180" w:vertAnchor="text" w:horzAnchor="page" w:tblpX="1789" w:tblpY="268"/>
        <w:tblOverlap w:val="never"/>
        <w:tblW w:w="8772" w:type="dxa"/>
        <w:tblInd w:w="0" w:type="dxa"/>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shd w:val="clear" w:color="auto" w:fill="auto"/>
        <w:tblLayout w:type="fixed"/>
        <w:tblCellMar>
          <w:top w:w="0" w:type="dxa"/>
          <w:left w:w="0" w:type="dxa"/>
          <w:bottom w:w="0" w:type="dxa"/>
          <w:right w:w="0" w:type="dxa"/>
        </w:tblCellMar>
      </w:tblPr>
      <w:tblGrid>
        <w:gridCol w:w="672"/>
        <w:gridCol w:w="1096"/>
        <w:gridCol w:w="1245"/>
        <w:gridCol w:w="1140"/>
        <w:gridCol w:w="1094"/>
        <w:gridCol w:w="1155"/>
        <w:gridCol w:w="1185"/>
        <w:gridCol w:w="1185"/>
      </w:tblGrid>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shd w:val="clear" w:color="auto" w:fill="auto"/>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市  州</w:t>
            </w:r>
          </w:p>
        </w:tc>
        <w:tc>
          <w:tcPr>
            <w:tcW w:w="1096" w:type="dxa"/>
            <w:vMerge w:val="restart"/>
            <w:tcBorders>
              <w:left w:val="nil"/>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县 区</w:t>
            </w:r>
          </w:p>
        </w:tc>
        <w:tc>
          <w:tcPr>
            <w:tcW w:w="1245" w:type="dxa"/>
            <w:vMerge w:val="restart"/>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巾帼扶贫车间</w:t>
            </w:r>
            <w:r>
              <w:rPr>
                <w:rFonts w:hint="eastAsia" w:ascii="宋体" w:hAnsi="宋体" w:eastAsia="宋体" w:cs="宋体"/>
                <w:b w:val="0"/>
                <w:bCs w:val="0"/>
                <w:i w:val="0"/>
                <w:color w:val="auto"/>
                <w:kern w:val="0"/>
                <w:sz w:val="28"/>
                <w:szCs w:val="28"/>
                <w:u w:val="none"/>
                <w:lang w:val="en-US" w:eastAsia="zh-CN" w:bidi="ar"/>
              </w:rPr>
              <w:t>培训经费（万元）</w:t>
            </w:r>
          </w:p>
        </w:tc>
        <w:tc>
          <w:tcPr>
            <w:tcW w:w="1140" w:type="dxa"/>
            <w:vMerge w:val="restart"/>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应拨付金额（万元）</w:t>
            </w:r>
          </w:p>
        </w:tc>
        <w:tc>
          <w:tcPr>
            <w:tcW w:w="1094" w:type="dxa"/>
            <w:vMerge w:val="restart"/>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拨付资金（万元）</w:t>
            </w:r>
          </w:p>
        </w:tc>
        <w:tc>
          <w:tcPr>
            <w:tcW w:w="1155" w:type="dxa"/>
            <w:vMerge w:val="restart"/>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支出</w:t>
            </w:r>
            <w:r>
              <w:rPr>
                <w:rFonts w:hint="eastAsia" w:ascii="宋体" w:hAnsi="宋体" w:eastAsia="宋体" w:cs="宋体"/>
                <w:b w:val="0"/>
                <w:bCs w:val="0"/>
                <w:i w:val="0"/>
                <w:color w:val="auto"/>
                <w:kern w:val="0"/>
                <w:sz w:val="28"/>
                <w:szCs w:val="28"/>
                <w:u w:val="none"/>
                <w:lang w:val="en-US" w:eastAsia="zh-CN" w:bidi="ar"/>
              </w:rPr>
              <w:t>资金（万元）</w:t>
            </w:r>
          </w:p>
        </w:tc>
        <w:tc>
          <w:tcPr>
            <w:tcW w:w="1185" w:type="dxa"/>
            <w:vMerge w:val="restart"/>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结余</w:t>
            </w:r>
            <w:r>
              <w:rPr>
                <w:rFonts w:hint="eastAsia" w:ascii="宋体" w:hAnsi="宋体" w:eastAsia="宋体" w:cs="宋体"/>
                <w:b w:val="0"/>
                <w:bCs w:val="0"/>
                <w:i w:val="0"/>
                <w:color w:val="auto"/>
                <w:kern w:val="0"/>
                <w:sz w:val="28"/>
                <w:szCs w:val="28"/>
                <w:u w:val="none"/>
                <w:lang w:val="en-US" w:eastAsia="zh-CN" w:bidi="ar"/>
              </w:rPr>
              <w:t>资金（万元）</w:t>
            </w:r>
          </w:p>
        </w:tc>
        <w:tc>
          <w:tcPr>
            <w:tcW w:w="1185" w:type="dxa"/>
            <w:vMerge w:val="restart"/>
            <w:tcBorders>
              <w:lef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资金使用率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874" w:hRule="exact"/>
        </w:trPr>
        <w:tc>
          <w:tcPr>
            <w:tcW w:w="672" w:type="dxa"/>
            <w:vMerge w:val="continue"/>
            <w:tcBorders>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096" w:type="dxa"/>
            <w:vMerge w:val="continue"/>
            <w:tcBorders>
              <w:left w:val="nil"/>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245"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14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094"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155"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185"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185" w:type="dxa"/>
            <w:vMerge w:val="continue"/>
            <w:tcBorders>
              <w:lef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武威</w:t>
            </w: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古浪县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18.679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1.321</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93%</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白银</w:t>
            </w: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会宁县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靖远县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庆阳</w:t>
            </w: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环县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3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kern w:val="0"/>
                <w:sz w:val="28"/>
                <w:szCs w:val="28"/>
                <w:u w:val="none"/>
                <w:lang w:val="en-US" w:eastAsia="zh-CN" w:bidi="ar"/>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sz w:val="24"/>
                <w:szCs w:val="24"/>
              </w:rPr>
              <w:t>镇原县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i w:val="0"/>
                <w:color w:val="auto"/>
                <w:sz w:val="28"/>
                <w:szCs w:val="28"/>
                <w:u w:val="none"/>
                <w:lang w:val="en-US" w:eastAsia="zh-CN"/>
              </w:rPr>
            </w:pPr>
            <w:r>
              <w:rPr>
                <w:rFonts w:hint="eastAsia" w:ascii="宋体" w:hAnsi="宋体" w:cs="宋体"/>
                <w:b w:val="0"/>
                <w:bCs w:val="0"/>
                <w:i w:val="0"/>
                <w:color w:val="auto"/>
                <w:sz w:val="28"/>
                <w:szCs w:val="28"/>
                <w:u w:val="none"/>
                <w:lang w:val="en-US" w:eastAsia="zh-CN"/>
              </w:rPr>
              <w:t>10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10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10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10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49" w:hRule="exact"/>
        </w:trPr>
        <w:tc>
          <w:tcPr>
            <w:tcW w:w="672" w:type="dxa"/>
            <w:vMerge w:val="restart"/>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sz w:val="24"/>
                <w:szCs w:val="24"/>
              </w:rPr>
              <w:t>平凉</w:t>
            </w: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sz w:val="24"/>
                <w:szCs w:val="24"/>
              </w:rPr>
              <w:t>庄浪县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i w:val="0"/>
                <w:color w:val="auto"/>
                <w:sz w:val="28"/>
                <w:szCs w:val="28"/>
                <w:u w:val="none"/>
                <w:lang w:val="en-US" w:eastAsia="zh-CN"/>
              </w:rPr>
            </w:pPr>
            <w:r>
              <w:rPr>
                <w:rFonts w:hint="eastAsia" w:ascii="宋体" w:hAnsi="宋体" w:cs="宋体"/>
                <w:b w:val="0"/>
                <w:bCs w:val="0"/>
                <w:i w:val="0"/>
                <w:color w:val="auto"/>
                <w:sz w:val="28"/>
                <w:szCs w:val="28"/>
                <w:u w:val="none"/>
                <w:lang w:val="en-US" w:eastAsia="zh-CN"/>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lang w:eastAsia="zh-CN"/>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静宁县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定西</w:t>
            </w: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通渭县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16.6333</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3.3667</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83%</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岷  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eastAsia="zh-CN"/>
              </w:rPr>
            </w:pPr>
            <w:r>
              <w:rPr>
                <w:rFonts w:hint="eastAsia" w:ascii="宋体" w:hAnsi="宋体" w:cs="宋体"/>
                <w:b w:val="0"/>
                <w:bCs w:val="0"/>
                <w:i w:val="0"/>
                <w:color w:val="auto"/>
                <w:sz w:val="28"/>
                <w:szCs w:val="28"/>
                <w:u w:val="none"/>
                <w:lang w:val="en-US" w:eastAsia="zh-CN"/>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渭源县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天水</w:t>
            </w: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麦积区</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秦安县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color w:val="000000" w:themeColor="text1"/>
                <w:sz w:val="24"/>
                <w:szCs w:val="24"/>
                <w14:textFill>
                  <w14:solidFill>
                    <w14:schemeClr w14:val="tx1"/>
                  </w14:solidFill>
                </w14:textFill>
              </w:rPr>
              <w:t>张家川县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eastAsia="zh-CN"/>
              </w:rPr>
            </w:pPr>
            <w:r>
              <w:rPr>
                <w:rFonts w:hint="eastAsia" w:ascii="宋体" w:hAnsi="宋体" w:cs="宋体"/>
                <w:b w:val="0"/>
                <w:bCs w:val="0"/>
                <w:i w:val="0"/>
                <w:color w:val="auto"/>
                <w:sz w:val="28"/>
                <w:szCs w:val="28"/>
                <w:u w:val="none"/>
                <w:lang w:val="en-US" w:eastAsia="zh-CN"/>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spacing w:line="240" w:lineRule="auto"/>
              <w:jc w:val="both"/>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陇南</w:t>
            </w: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武都区</w:t>
            </w:r>
          </w:p>
          <w:p>
            <w:pPr>
              <w:spacing w:line="240" w:lineRule="auto"/>
              <w:jc w:val="center"/>
              <w:rPr>
                <w:rFonts w:hint="eastAsia" w:ascii="宋体" w:hAnsi="宋体" w:eastAsia="宋体" w:cs="宋体"/>
                <w:b w:val="0"/>
                <w:bCs w:val="0"/>
                <w:i w:val="0"/>
                <w:color w:val="auto"/>
                <w:sz w:val="28"/>
                <w:szCs w:val="28"/>
                <w:u w:val="none"/>
              </w:rPr>
            </w:pP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宕昌县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30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30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30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30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西和县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礼  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文  县</w:t>
            </w:r>
          </w:p>
          <w:p>
            <w:pPr>
              <w:spacing w:line="240" w:lineRule="auto"/>
              <w:jc w:val="center"/>
              <w:rPr>
                <w:rFonts w:hint="eastAsia" w:ascii="宋体" w:hAnsi="宋体" w:eastAsia="宋体" w:cs="宋体"/>
                <w:b w:val="0"/>
                <w:bCs w:val="0"/>
                <w:i w:val="0"/>
                <w:color w:val="auto"/>
                <w:sz w:val="28"/>
                <w:szCs w:val="28"/>
                <w:u w:val="none"/>
              </w:rPr>
            </w:pP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6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临夏</w:t>
            </w: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东乡县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lang w:eastAsia="zh-CN"/>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积石山县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19.5552</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0.4448</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98%</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永靖县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甘南</w:t>
            </w: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临潭县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top"/>
          </w:tcPr>
          <w:p>
            <w:pPr>
              <w:spacing w:line="240" w:lineRule="auto"/>
              <w:jc w:val="center"/>
              <w:rPr>
                <w:rFonts w:hint="eastAsia" w:ascii="宋体" w:hAnsi="宋体" w:eastAsia="宋体" w:cs="宋体"/>
                <w:b w:val="0"/>
                <w:bCs w:val="0"/>
                <w:i w:val="0"/>
                <w:color w:val="auto"/>
                <w:sz w:val="28"/>
                <w:szCs w:val="28"/>
                <w:u w:val="none"/>
              </w:rPr>
            </w:pPr>
          </w:p>
        </w:tc>
        <w:tc>
          <w:tcPr>
            <w:tcW w:w="1096" w:type="dxa"/>
            <w:tcBorders>
              <w:left w:val="nil"/>
              <w:right w:val="single" w:color="000000" w:sz="8"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val="0"/>
                <w:bCs w:val="0"/>
                <w:i w:val="0"/>
                <w:color w:val="auto"/>
                <w:sz w:val="28"/>
                <w:szCs w:val="28"/>
                <w:u w:val="none"/>
              </w:rPr>
            </w:pPr>
            <w:r>
              <w:rPr>
                <w:rFonts w:hint="eastAsia" w:ascii="宋体" w:hAnsi="宋体" w:eastAsia="宋体" w:cs="宋体"/>
                <w:sz w:val="24"/>
                <w:szCs w:val="24"/>
              </w:rPr>
              <w:t>舟曲县</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1768" w:type="dxa"/>
            <w:gridSpan w:val="2"/>
            <w:tcBorders>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总  计</w:t>
            </w:r>
          </w:p>
        </w:tc>
        <w:tc>
          <w:tcPr>
            <w:tcW w:w="124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400</w:t>
            </w:r>
          </w:p>
        </w:tc>
        <w:tc>
          <w:tcPr>
            <w:tcW w:w="114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400</w:t>
            </w:r>
          </w:p>
        </w:tc>
        <w:tc>
          <w:tcPr>
            <w:tcW w:w="109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400</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宋体" w:hAnsi="宋体" w:eastAsia="宋体" w:cs="宋体"/>
                <w:i w:val="0"/>
                <w:color w:val="auto"/>
                <w:kern w:val="2"/>
                <w:sz w:val="28"/>
                <w:szCs w:val="28"/>
                <w:u w:val="none"/>
                <w:lang w:val="en-US" w:eastAsia="zh-CN" w:bidi="ar-SA"/>
              </w:rPr>
            </w:pPr>
            <w:r>
              <w:rPr>
                <w:rFonts w:hint="eastAsia" w:ascii="宋体" w:hAnsi="宋体" w:eastAsia="宋体" w:cs="宋体"/>
                <w:i w:val="0"/>
                <w:color w:val="auto"/>
                <w:kern w:val="2"/>
                <w:sz w:val="28"/>
                <w:szCs w:val="28"/>
                <w:u w:val="none"/>
                <w:lang w:val="en-US" w:eastAsia="zh-CN" w:bidi="ar-SA"/>
              </w:rPr>
              <w:t>394.8675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lang w:val="en-US" w:eastAsia="zh-CN"/>
              </w:rPr>
            </w:pPr>
            <w:r>
              <w:rPr>
                <w:rFonts w:hint="eastAsia" w:ascii="宋体" w:hAnsi="宋体" w:cs="宋体"/>
                <w:b w:val="0"/>
                <w:bCs w:val="0"/>
                <w:i w:val="0"/>
                <w:color w:val="auto"/>
                <w:sz w:val="28"/>
                <w:szCs w:val="28"/>
                <w:u w:val="none"/>
                <w:lang w:val="en-US" w:eastAsia="zh-CN"/>
              </w:rPr>
              <w:t>5.1325</w:t>
            </w:r>
          </w:p>
        </w:tc>
        <w:tc>
          <w:tcPr>
            <w:tcW w:w="1185" w:type="dxa"/>
            <w:tcBorders>
              <w:lef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99%</w:t>
            </w:r>
          </w:p>
        </w:tc>
      </w:tr>
    </w:tbl>
    <w:p>
      <w:pPr>
        <w:widowControl/>
        <w:numPr>
          <w:ilvl w:val="0"/>
          <w:numId w:val="0"/>
        </w:numPr>
        <w:spacing w:line="480" w:lineRule="auto"/>
        <w:rPr>
          <w:rFonts w:hint="eastAsia" w:ascii="宋体" w:hAnsi="宋体"/>
          <w:b/>
          <w:bCs/>
          <w:color w:val="C00000"/>
          <w:sz w:val="28"/>
          <w:szCs w:val="28"/>
          <w:lang w:val="en-US" w:eastAsia="zh-CN"/>
        </w:rPr>
      </w:pPr>
    </w:p>
    <w:p>
      <w:pPr>
        <w:widowControl/>
        <w:numPr>
          <w:ilvl w:val="0"/>
          <w:numId w:val="5"/>
        </w:numPr>
        <w:spacing w:line="480" w:lineRule="auto"/>
        <w:ind w:firstLine="562" w:firstLineChars="200"/>
        <w:outlineLvl w:val="1"/>
        <w:rPr>
          <w:rFonts w:hint="eastAsia" w:ascii="宋体" w:hAnsi="宋体"/>
          <w:b/>
          <w:color w:val="auto"/>
          <w:sz w:val="28"/>
          <w:szCs w:val="28"/>
        </w:rPr>
      </w:pPr>
      <w:bookmarkStart w:id="9" w:name="_Toc25034"/>
      <w:r>
        <w:rPr>
          <w:rFonts w:hint="eastAsia" w:ascii="宋体" w:hAnsi="宋体"/>
          <w:b/>
          <w:color w:val="auto"/>
          <w:sz w:val="28"/>
          <w:szCs w:val="28"/>
          <w:lang w:eastAsia="zh-CN"/>
        </w:rPr>
        <w:t>项目绩效目标</w:t>
      </w:r>
      <w:bookmarkEnd w:id="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32"/>
          <w:szCs w:val="32"/>
        </w:rPr>
      </w:pPr>
      <w:r>
        <w:rPr>
          <w:rFonts w:hint="eastAsia" w:ascii="宋体" w:hAnsi="宋体"/>
          <w:b w:val="0"/>
          <w:bCs/>
          <w:color w:val="auto"/>
          <w:sz w:val="28"/>
          <w:szCs w:val="28"/>
          <w:lang w:eastAsia="zh-CN"/>
        </w:rPr>
        <w:t>本项目目标为2019年省财政厅巾帼扶贫车间技能培训专项资金1000万元，</w:t>
      </w:r>
      <w:r>
        <w:rPr>
          <w:rFonts w:hint="eastAsia" w:ascii="宋体" w:hAnsi="宋体"/>
          <w:b w:val="0"/>
          <w:bCs/>
          <w:color w:val="auto"/>
          <w:sz w:val="28"/>
          <w:szCs w:val="28"/>
          <w:lang w:val="en-US" w:eastAsia="zh-CN"/>
        </w:rPr>
        <w:t>省妇联本级600万元，400万元直接拨付23个深度贫困县，全省40个深度贫困乡镇，每个乡镇建成2个“巾帼扶贫车间”；举办“巾帼扶贫车间”骨干培训班；培树优秀“巾帼扶贫车间”50个，对接“巾帼扶贫车间”产品订单。</w:t>
      </w:r>
      <w:r>
        <w:rPr>
          <w:rFonts w:hint="eastAsia" w:ascii="宋体" w:hAnsi="宋体"/>
          <w:b w:val="0"/>
          <w:bCs/>
          <w:color w:val="auto"/>
          <w:sz w:val="28"/>
          <w:szCs w:val="28"/>
          <w:lang w:val="en-US" w:eastAsia="zh-CN"/>
        </w:rPr>
        <w:tab/>
      </w:r>
      <w:r>
        <w:rPr>
          <w:rFonts w:hint="eastAsia" w:ascii="宋体" w:hAnsi="宋体"/>
          <w:b w:val="0"/>
          <w:bCs/>
          <w:color w:val="auto"/>
          <w:sz w:val="28"/>
          <w:szCs w:val="28"/>
          <w:lang w:val="en-US" w:eastAsia="zh-CN"/>
        </w:rPr>
        <w:tab/>
      </w:r>
      <w:r>
        <w:rPr>
          <w:rFonts w:hint="eastAsia" w:ascii="宋体" w:hAnsi="宋体"/>
          <w:b w:val="0"/>
          <w:bCs/>
          <w:color w:val="auto"/>
          <w:sz w:val="28"/>
          <w:szCs w:val="28"/>
          <w:lang w:val="en-US" w:eastAsia="zh-CN"/>
        </w:rPr>
        <w:tab/>
      </w:r>
      <w:r>
        <w:rPr>
          <w:rFonts w:hint="eastAsia" w:ascii="宋体" w:hAnsi="宋体"/>
          <w:b w:val="0"/>
          <w:bCs/>
          <w:color w:val="auto"/>
          <w:sz w:val="28"/>
          <w:szCs w:val="28"/>
          <w:lang w:val="en-US" w:eastAsia="zh-CN"/>
        </w:rPr>
        <w:tab/>
      </w:r>
    </w:p>
    <w:p>
      <w:pPr>
        <w:keepNext w:val="0"/>
        <w:keepLines w:val="0"/>
        <w:pageBreakBefore w:val="0"/>
        <w:widowControl/>
        <w:numPr>
          <w:ilvl w:val="0"/>
          <w:numId w:val="6"/>
        </w:numPr>
        <w:kinsoku/>
        <w:wordWrap/>
        <w:overflowPunct/>
        <w:topLinePunct w:val="0"/>
        <w:autoSpaceDE/>
        <w:autoSpaceDN/>
        <w:bidi w:val="0"/>
        <w:adjustRightInd/>
        <w:snapToGrid/>
        <w:spacing w:line="480" w:lineRule="auto"/>
        <w:ind w:firstLine="0" w:firstLineChars="0"/>
        <w:textAlignment w:val="auto"/>
        <w:outlineLvl w:val="0"/>
        <w:rPr>
          <w:rFonts w:ascii="宋体" w:hAnsi="宋体"/>
          <w:b/>
          <w:sz w:val="28"/>
          <w:szCs w:val="28"/>
        </w:rPr>
      </w:pPr>
      <w:bookmarkStart w:id="10" w:name="_Toc32730"/>
      <w:r>
        <w:rPr>
          <w:rFonts w:hint="eastAsia" w:ascii="宋体" w:hAnsi="宋体"/>
          <w:b/>
          <w:sz w:val="28"/>
          <w:szCs w:val="28"/>
        </w:rPr>
        <w:t>绩效评价</w:t>
      </w:r>
      <w:r>
        <w:rPr>
          <w:rFonts w:hint="eastAsia" w:ascii="宋体" w:hAnsi="宋体"/>
          <w:b/>
          <w:sz w:val="28"/>
          <w:szCs w:val="28"/>
          <w:lang w:eastAsia="zh-CN"/>
        </w:rPr>
        <w:t>工作情况</w:t>
      </w:r>
      <w:bookmarkEnd w:id="10"/>
    </w:p>
    <w:p>
      <w:pPr>
        <w:widowControl/>
        <w:numPr>
          <w:ilvl w:val="0"/>
          <w:numId w:val="7"/>
        </w:numPr>
        <w:spacing w:line="480" w:lineRule="auto"/>
        <w:ind w:firstLine="562" w:firstLineChars="200"/>
        <w:outlineLvl w:val="1"/>
        <w:rPr>
          <w:rFonts w:hint="eastAsia" w:ascii="宋体" w:hAnsi="宋体"/>
          <w:b/>
          <w:sz w:val="28"/>
          <w:szCs w:val="28"/>
        </w:rPr>
      </w:pPr>
      <w:bookmarkStart w:id="11" w:name="_Toc32049"/>
      <w:r>
        <w:rPr>
          <w:rFonts w:hint="eastAsia" w:ascii="宋体" w:hAnsi="宋体"/>
          <w:b/>
          <w:sz w:val="28"/>
          <w:szCs w:val="28"/>
          <w:lang w:eastAsia="zh-CN"/>
        </w:rPr>
        <w:t>绩效评价目的</w:t>
      </w:r>
      <w:bookmarkEnd w:id="11"/>
    </w:p>
    <w:p>
      <w:pPr>
        <w:widowControl/>
        <w:spacing w:line="480" w:lineRule="auto"/>
        <w:ind w:firstLine="560" w:firstLineChars="200"/>
        <w:rPr>
          <w:rFonts w:ascii="宋体" w:hAnsi="宋体"/>
          <w:sz w:val="28"/>
          <w:szCs w:val="28"/>
        </w:rPr>
      </w:pPr>
      <w:r>
        <w:rPr>
          <w:rFonts w:hint="eastAsia" w:ascii="宋体" w:hAnsi="宋体"/>
          <w:sz w:val="28"/>
          <w:szCs w:val="28"/>
          <w:highlight w:val="none"/>
        </w:rPr>
        <w:t>通过制定符合资金运用、注重引导和可操作的评价指标体系，构建形成财政投入和绩效挂钩的动态调整机制，</w:t>
      </w:r>
      <w:r>
        <w:rPr>
          <w:rFonts w:hint="eastAsia" w:ascii="宋体" w:hAnsi="宋体" w:cs="Times New Roman"/>
          <w:sz w:val="28"/>
          <w:szCs w:val="28"/>
          <w:highlight w:val="none"/>
          <w:lang w:val="en-US" w:eastAsia="zh-CN"/>
        </w:rPr>
        <w:t>确保项目规范实施，资金安全运行</w:t>
      </w:r>
      <w:r>
        <w:rPr>
          <w:rFonts w:hint="eastAsia" w:ascii="仿宋_GB2312" w:hAnsi="仿宋_GB2312" w:eastAsia="仿宋_GB2312" w:cs="仿宋_GB2312"/>
          <w:sz w:val="34"/>
          <w:szCs w:val="34"/>
          <w:lang w:val="en-US" w:eastAsia="zh-CN"/>
        </w:rPr>
        <w:t>，</w:t>
      </w:r>
      <w:r>
        <w:rPr>
          <w:rFonts w:hint="eastAsia" w:ascii="宋体" w:hAnsi="宋体"/>
          <w:sz w:val="28"/>
          <w:szCs w:val="28"/>
          <w:highlight w:val="none"/>
          <w:lang w:eastAsia="zh-CN"/>
        </w:rPr>
        <w:t>大力实施妇女特色手工产业助力脱贫攻坚的一号工程</w:t>
      </w:r>
      <w:r>
        <w:rPr>
          <w:rFonts w:hint="eastAsia" w:ascii="宋体" w:hAnsi="宋体"/>
          <w:sz w:val="28"/>
          <w:szCs w:val="28"/>
          <w:highlight w:val="none"/>
        </w:rPr>
        <w:t>支持</w:t>
      </w:r>
      <w:r>
        <w:rPr>
          <w:rFonts w:hint="eastAsia" w:ascii="宋体" w:hAnsi="宋体"/>
          <w:sz w:val="28"/>
          <w:szCs w:val="28"/>
          <w:highlight w:val="none"/>
          <w:lang w:val="en-US" w:eastAsia="zh-CN"/>
        </w:rPr>
        <w:t>甘肃经济发展、社会事业的发展</w:t>
      </w:r>
      <w:r>
        <w:rPr>
          <w:rFonts w:hint="eastAsia" w:ascii="宋体" w:hAnsi="宋体"/>
          <w:sz w:val="28"/>
          <w:szCs w:val="28"/>
          <w:highlight w:val="none"/>
        </w:rPr>
        <w:t>，鼓励各个地区从实际出发推动</w:t>
      </w:r>
      <w:r>
        <w:rPr>
          <w:rFonts w:hint="eastAsia" w:ascii="宋体" w:hAnsi="宋体"/>
          <w:sz w:val="28"/>
          <w:szCs w:val="28"/>
          <w:highlight w:val="none"/>
          <w:lang w:val="en-US" w:eastAsia="zh-CN"/>
        </w:rPr>
        <w:t>巾帼扶贫车间建设。</w:t>
      </w:r>
      <w:r>
        <w:rPr>
          <w:rFonts w:hint="eastAsia" w:ascii="宋体" w:hAnsi="宋体"/>
          <w:sz w:val="28"/>
          <w:szCs w:val="28"/>
          <w:u w:val="none" w:color="auto"/>
          <w:lang w:val="en-US" w:eastAsia="zh-CN"/>
        </w:rPr>
        <w:t xml:space="preserve">         </w:t>
      </w:r>
    </w:p>
    <w:p>
      <w:pPr>
        <w:widowControl/>
        <w:spacing w:line="480" w:lineRule="auto"/>
        <w:ind w:firstLine="562" w:firstLineChars="200"/>
        <w:outlineLvl w:val="1"/>
        <w:rPr>
          <w:rFonts w:hint="eastAsia" w:ascii="宋体" w:hAnsi="宋体" w:cs="Times New Roman"/>
          <w:b/>
          <w:bCs/>
          <w:sz w:val="28"/>
          <w:szCs w:val="28"/>
          <w:highlight w:val="none"/>
          <w:lang w:eastAsia="zh-CN"/>
        </w:rPr>
      </w:pPr>
      <w:bookmarkStart w:id="12" w:name="_Toc13131"/>
      <w:r>
        <w:rPr>
          <w:rFonts w:hint="eastAsia" w:ascii="宋体" w:hAnsi="宋体" w:cs="Times New Roman"/>
          <w:b/>
          <w:bCs/>
          <w:sz w:val="28"/>
          <w:szCs w:val="28"/>
          <w:highlight w:val="none"/>
        </w:rPr>
        <w:t>（二）</w:t>
      </w:r>
      <w:r>
        <w:rPr>
          <w:rFonts w:hint="eastAsia" w:ascii="宋体" w:hAnsi="宋体" w:cs="Times New Roman"/>
          <w:b/>
          <w:bCs/>
          <w:sz w:val="28"/>
          <w:szCs w:val="28"/>
          <w:highlight w:val="none"/>
          <w:lang w:eastAsia="zh-CN"/>
        </w:rPr>
        <w:t>绩效评价设计过程</w:t>
      </w:r>
      <w:bookmarkEnd w:id="12"/>
    </w:p>
    <w:p>
      <w:pPr>
        <w:widowControl/>
        <w:spacing w:line="480" w:lineRule="auto"/>
        <w:ind w:firstLine="560" w:firstLineChars="200"/>
        <w:outlineLvl w:val="2"/>
        <w:rPr>
          <w:rFonts w:hint="eastAsia" w:ascii="宋体" w:hAnsi="宋体" w:cs="Times New Roman"/>
          <w:sz w:val="28"/>
          <w:szCs w:val="28"/>
          <w:highlight w:val="none"/>
        </w:rPr>
      </w:pPr>
      <w:bookmarkStart w:id="13" w:name="_Toc10381"/>
      <w:bookmarkStart w:id="14" w:name="_Toc16733_WPSOffice_Level3"/>
      <w:bookmarkStart w:id="15" w:name="_Toc18906_WPSOffice_Level3"/>
      <w:bookmarkStart w:id="16" w:name="_Toc3076_WPSOffice_Level3"/>
      <w:bookmarkStart w:id="17" w:name="_Toc1890_WPSOffice_Level3"/>
      <w:bookmarkStart w:id="18" w:name="_Toc18349_WPSOffice_Level3"/>
      <w:bookmarkStart w:id="19" w:name="_Toc2630_WPSOffice_Level3"/>
      <w:r>
        <w:rPr>
          <w:rFonts w:hint="eastAsia" w:ascii="宋体" w:hAnsi="宋体" w:cs="Times New Roman"/>
          <w:sz w:val="28"/>
          <w:szCs w:val="28"/>
          <w:highlight w:val="none"/>
        </w:rPr>
        <w:t>1. 前期准备</w:t>
      </w:r>
      <w:bookmarkEnd w:id="13"/>
      <w:bookmarkEnd w:id="14"/>
      <w:bookmarkEnd w:id="15"/>
      <w:bookmarkEnd w:id="16"/>
      <w:bookmarkEnd w:id="17"/>
      <w:bookmarkEnd w:id="18"/>
      <w:bookmarkEnd w:id="19"/>
    </w:p>
    <w:p>
      <w:pPr>
        <w:widowControl/>
        <w:spacing w:line="48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rPr>
        <w:t>专家组根据评价任务，</w:t>
      </w:r>
      <w:r>
        <w:rPr>
          <w:rFonts w:hint="eastAsia" w:ascii="宋体" w:hAnsi="宋体" w:cs="Times New Roman"/>
          <w:sz w:val="28"/>
          <w:szCs w:val="28"/>
          <w:highlight w:val="none"/>
          <w:lang w:eastAsia="zh-CN"/>
        </w:rPr>
        <w:t>此次绩效工作涉及省妇联及</w:t>
      </w:r>
      <w:r>
        <w:rPr>
          <w:rFonts w:hint="eastAsia" w:ascii="宋体" w:hAnsi="宋体" w:cs="Times New Roman"/>
          <w:sz w:val="28"/>
          <w:szCs w:val="28"/>
          <w:highlight w:val="none"/>
          <w:lang w:val="en-US" w:eastAsia="zh-CN"/>
        </w:rPr>
        <w:t>23个深度贫困县、点多面广、时间紧、任务重、分类及个性指标多，因此熟悉绩效评价文件，完成绩效评价基础信息工作，</w:t>
      </w:r>
      <w:r>
        <w:rPr>
          <w:rFonts w:hint="eastAsia" w:ascii="宋体" w:hAnsi="宋体" w:cs="Times New Roman"/>
          <w:sz w:val="28"/>
          <w:szCs w:val="28"/>
          <w:highlight w:val="none"/>
          <w:lang w:eastAsia="zh-CN"/>
        </w:rPr>
        <w:t>大量阅读了上报的自评报告，查阅相关信息及对应指标体系，以此掌握评价项目基础信息。</w:t>
      </w:r>
    </w:p>
    <w:p>
      <w:pPr>
        <w:widowControl/>
        <w:spacing w:line="480" w:lineRule="auto"/>
        <w:ind w:firstLine="560" w:firstLineChars="200"/>
        <w:outlineLvl w:val="2"/>
        <w:rPr>
          <w:rFonts w:hint="eastAsia" w:ascii="宋体" w:hAnsi="宋体" w:eastAsia="宋体" w:cs="Times New Roman"/>
          <w:sz w:val="28"/>
          <w:szCs w:val="28"/>
          <w:highlight w:val="none"/>
          <w:lang w:eastAsia="zh-CN"/>
        </w:rPr>
      </w:pPr>
      <w:bookmarkStart w:id="20" w:name="_Toc22164_WPSOffice_Level3"/>
      <w:bookmarkStart w:id="21" w:name="_Toc2107_WPSOffice_Level3"/>
      <w:bookmarkStart w:id="22" w:name="_Toc12490_WPSOffice_Level3"/>
      <w:bookmarkStart w:id="23" w:name="_Toc23620"/>
      <w:bookmarkStart w:id="24" w:name="_Toc24684_WPSOffice_Level3"/>
      <w:bookmarkStart w:id="25" w:name="_Toc9910_WPSOffice_Level3"/>
      <w:bookmarkStart w:id="26" w:name="_Toc6417_WPSOffice_Level3"/>
      <w:r>
        <w:rPr>
          <w:rFonts w:hint="eastAsia" w:ascii="宋体" w:hAnsi="宋体" w:cs="Times New Roman"/>
          <w:sz w:val="28"/>
          <w:szCs w:val="28"/>
          <w:highlight w:val="none"/>
        </w:rPr>
        <w:t>2. 绩效评价设计</w:t>
      </w:r>
      <w:bookmarkEnd w:id="20"/>
      <w:bookmarkEnd w:id="21"/>
      <w:bookmarkEnd w:id="22"/>
      <w:r>
        <w:rPr>
          <w:rFonts w:hint="eastAsia" w:ascii="宋体" w:hAnsi="宋体" w:cs="Times New Roman"/>
          <w:sz w:val="28"/>
          <w:szCs w:val="28"/>
          <w:highlight w:val="none"/>
          <w:lang w:eastAsia="zh-CN"/>
        </w:rPr>
        <w:t>方案</w:t>
      </w:r>
      <w:bookmarkEnd w:id="23"/>
      <w:bookmarkEnd w:id="24"/>
      <w:bookmarkEnd w:id="25"/>
      <w:bookmarkEnd w:id="26"/>
    </w:p>
    <w:p>
      <w:pPr>
        <w:widowControl/>
        <w:spacing w:line="48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rPr>
        <w:t>(1)专家组拟定绩效评价具体工作方案</w:t>
      </w:r>
      <w:r>
        <w:rPr>
          <w:rFonts w:hint="eastAsia" w:ascii="宋体" w:hAnsi="宋体" w:cs="Times New Roman"/>
          <w:sz w:val="28"/>
          <w:szCs w:val="28"/>
          <w:highlight w:val="none"/>
          <w:lang w:val="en-US" w:eastAsia="zh-CN"/>
        </w:rPr>
        <w:t>，</w:t>
      </w:r>
      <w:r>
        <w:rPr>
          <w:rFonts w:hint="eastAsia" w:ascii="宋体" w:hAnsi="宋体" w:cs="Times New Roman"/>
          <w:sz w:val="28"/>
          <w:szCs w:val="28"/>
          <w:highlight w:val="none"/>
        </w:rPr>
        <w:t>按项目类别和任务设计评价指标，确定评价标准和评价方法</w:t>
      </w:r>
      <w:r>
        <w:rPr>
          <w:rFonts w:hint="eastAsia" w:ascii="宋体" w:hAnsi="宋体" w:cs="Times New Roman"/>
          <w:sz w:val="28"/>
          <w:szCs w:val="28"/>
          <w:highlight w:val="none"/>
          <w:lang w:eastAsia="zh-CN"/>
        </w:rPr>
        <w:t>；</w:t>
      </w:r>
    </w:p>
    <w:p>
      <w:pPr>
        <w:widowControl/>
        <w:spacing w:line="48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rPr>
        <w:t>(2)选择证据搜集方法，形成绩效评价</w:t>
      </w:r>
      <w:r>
        <w:rPr>
          <w:rFonts w:hint="eastAsia" w:ascii="宋体" w:hAnsi="宋体" w:cs="Times New Roman"/>
          <w:sz w:val="28"/>
          <w:szCs w:val="28"/>
          <w:highlight w:val="none"/>
          <w:lang w:eastAsia="zh-CN"/>
        </w:rPr>
        <w:t>方案。</w:t>
      </w:r>
    </w:p>
    <w:p>
      <w:pPr>
        <w:widowControl/>
        <w:spacing w:line="480" w:lineRule="auto"/>
        <w:ind w:firstLine="562" w:firstLineChars="200"/>
        <w:outlineLvl w:val="1"/>
        <w:rPr>
          <w:rFonts w:hint="eastAsia" w:ascii="宋体" w:hAnsi="宋体" w:eastAsia="宋体"/>
          <w:b/>
          <w:sz w:val="28"/>
          <w:szCs w:val="28"/>
          <w:lang w:eastAsia="zh-CN"/>
        </w:rPr>
      </w:pPr>
      <w:bookmarkStart w:id="27" w:name="_Toc14358"/>
      <w:r>
        <w:rPr>
          <w:rFonts w:hint="eastAsia" w:ascii="宋体" w:hAnsi="宋体"/>
          <w:b/>
          <w:sz w:val="28"/>
          <w:szCs w:val="28"/>
        </w:rPr>
        <w:t>（三）</w:t>
      </w:r>
      <w:r>
        <w:rPr>
          <w:rFonts w:hint="eastAsia" w:ascii="宋体" w:hAnsi="宋体"/>
          <w:b/>
          <w:sz w:val="28"/>
          <w:szCs w:val="28"/>
          <w:lang w:eastAsia="zh-CN"/>
        </w:rPr>
        <w:t>绩效评价框架</w:t>
      </w:r>
      <w:bookmarkEnd w:id="27"/>
    </w:p>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outlineLvl w:val="2"/>
        <w:rPr>
          <w:rFonts w:hint="eastAsia" w:ascii="宋体" w:hAnsi="宋体"/>
          <w:b/>
          <w:sz w:val="28"/>
          <w:szCs w:val="28"/>
        </w:rPr>
      </w:pPr>
      <w:bookmarkStart w:id="28" w:name="_Toc27499"/>
      <w:bookmarkStart w:id="29" w:name="_Toc3013_WPSOffice_Level3"/>
      <w:bookmarkStart w:id="30" w:name="_Toc19708_WPSOffice_Level3"/>
      <w:bookmarkStart w:id="31" w:name="_Toc30727_WPSOffice_Level3"/>
      <w:bookmarkStart w:id="32" w:name="_Toc28400_WPSOffice_Level3"/>
      <w:bookmarkStart w:id="33" w:name="_Toc22394_WPSOffice_Level3"/>
      <w:bookmarkStart w:id="34" w:name="_Toc5918_WPSOffice_Level3"/>
      <w:r>
        <w:rPr>
          <w:rFonts w:hint="eastAsia" w:ascii="宋体" w:hAnsi="宋体"/>
          <w:b/>
          <w:sz w:val="28"/>
          <w:szCs w:val="28"/>
          <w:lang w:val="en-US" w:eastAsia="zh-CN"/>
        </w:rPr>
        <w:t>1、</w:t>
      </w:r>
      <w:r>
        <w:rPr>
          <w:rFonts w:hint="eastAsia" w:ascii="宋体" w:hAnsi="宋体"/>
          <w:b/>
          <w:sz w:val="28"/>
          <w:szCs w:val="28"/>
        </w:rPr>
        <w:t>评价原则</w:t>
      </w:r>
      <w:bookmarkEnd w:id="28"/>
      <w:bookmarkEnd w:id="29"/>
      <w:bookmarkEnd w:id="30"/>
      <w:bookmarkEnd w:id="31"/>
      <w:bookmarkEnd w:id="32"/>
      <w:bookmarkEnd w:id="33"/>
      <w:bookmarkEnd w:id="34"/>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系统性。以</w:t>
      </w:r>
      <w:r>
        <w:rPr>
          <w:rFonts w:hint="eastAsia" w:ascii="宋体" w:hAnsi="宋体"/>
          <w:sz w:val="28"/>
          <w:szCs w:val="28"/>
          <w:lang w:val="en-US" w:eastAsia="zh-CN"/>
        </w:rPr>
        <w:t>2019年度巾帼扶贫车间项目</w:t>
      </w:r>
      <w:r>
        <w:rPr>
          <w:rFonts w:hint="eastAsia" w:ascii="宋体" w:hAnsi="宋体"/>
          <w:sz w:val="28"/>
          <w:szCs w:val="28"/>
        </w:rPr>
        <w:t>为主要依据，结合省上制定的考核指标体系；</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科学性。为便于汇总、统计和各地</w:t>
      </w:r>
      <w:r>
        <w:rPr>
          <w:rFonts w:hint="eastAsia" w:ascii="宋体" w:hAnsi="宋体"/>
          <w:sz w:val="28"/>
          <w:szCs w:val="28"/>
          <w:lang w:val="en-US" w:eastAsia="zh-CN"/>
        </w:rPr>
        <w:t>巾帼扶贫车间</w:t>
      </w:r>
      <w:r>
        <w:rPr>
          <w:rFonts w:hint="eastAsia" w:ascii="宋体" w:hAnsi="宋体"/>
          <w:sz w:val="28"/>
          <w:szCs w:val="28"/>
        </w:rPr>
        <w:t>项目横向比对，对指标的每个考核点按分值量化；</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合理性。坚持定量与定性相结合，兼顾各个地区的多样化和差异性，突出内涵建设和质量效益导向，体现各地</w:t>
      </w:r>
      <w:r>
        <w:rPr>
          <w:rFonts w:hint="eastAsia" w:ascii="宋体" w:hAnsi="宋体"/>
          <w:sz w:val="28"/>
          <w:szCs w:val="28"/>
          <w:lang w:eastAsia="zh-CN"/>
        </w:rPr>
        <w:t>巾帼扶贫车间</w:t>
      </w:r>
      <w:r>
        <w:rPr>
          <w:rFonts w:hint="eastAsia" w:ascii="宋体" w:hAnsi="宋体"/>
          <w:sz w:val="28"/>
          <w:szCs w:val="28"/>
          <w:lang w:val="en-US" w:eastAsia="zh-CN"/>
        </w:rPr>
        <w:t>项目</w:t>
      </w:r>
      <w:r>
        <w:rPr>
          <w:rFonts w:hint="eastAsia" w:ascii="宋体" w:hAnsi="宋体"/>
          <w:sz w:val="28"/>
          <w:szCs w:val="28"/>
        </w:rPr>
        <w:t>资金及资源的投入和产出；</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rPr>
        <w:t>坚持真实、科学、公正的原则；</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坚持综合绩效评价的原则；</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宋体"/>
          <w:sz w:val="28"/>
          <w:szCs w:val="28"/>
        </w:rPr>
        <w:t>坚持定量分析与定性分析的原则；</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7</w:t>
      </w:r>
      <w:r>
        <w:rPr>
          <w:rFonts w:hint="eastAsia" w:ascii="宋体" w:hAnsi="宋体"/>
          <w:sz w:val="28"/>
          <w:szCs w:val="28"/>
          <w:lang w:eastAsia="zh-CN"/>
        </w:rPr>
        <w:t>）</w:t>
      </w:r>
      <w:r>
        <w:rPr>
          <w:rFonts w:hint="eastAsia" w:ascii="宋体" w:hAnsi="宋体"/>
          <w:sz w:val="28"/>
          <w:szCs w:val="28"/>
        </w:rPr>
        <w:t>坚持绩效评价与项目支出管理相结合的原则；</w:t>
      </w:r>
    </w:p>
    <w:p>
      <w:pPr>
        <w:widowControl/>
        <w:spacing w:line="480" w:lineRule="auto"/>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8</w:t>
      </w:r>
      <w:r>
        <w:rPr>
          <w:rFonts w:hint="eastAsia" w:ascii="宋体" w:hAnsi="宋体"/>
          <w:sz w:val="28"/>
          <w:szCs w:val="28"/>
          <w:lang w:eastAsia="zh-CN"/>
        </w:rPr>
        <w:t>）</w:t>
      </w:r>
      <w:r>
        <w:rPr>
          <w:rFonts w:hint="eastAsia" w:ascii="宋体" w:hAnsi="宋体"/>
          <w:sz w:val="28"/>
          <w:szCs w:val="28"/>
        </w:rPr>
        <w:t>坚持绩效评价贯穿于事前、事中、事后的原则。</w:t>
      </w:r>
    </w:p>
    <w:p>
      <w:pPr>
        <w:widowControl/>
        <w:spacing w:line="480" w:lineRule="auto"/>
        <w:ind w:firstLine="562" w:firstLineChars="200"/>
        <w:outlineLvl w:val="2"/>
        <w:rPr>
          <w:rFonts w:hint="eastAsia" w:ascii="宋体" w:hAnsi="宋体"/>
          <w:b/>
          <w:sz w:val="28"/>
          <w:szCs w:val="28"/>
          <w:lang w:eastAsia="zh-CN"/>
        </w:rPr>
      </w:pPr>
      <w:bookmarkStart w:id="35" w:name="_Toc14845"/>
      <w:bookmarkStart w:id="36" w:name="_Toc4295_WPSOffice_Level3"/>
      <w:bookmarkStart w:id="37" w:name="_Toc7200_WPSOffice_Level3"/>
      <w:bookmarkStart w:id="38" w:name="_Toc2294_WPSOffice_Level3"/>
      <w:bookmarkStart w:id="39" w:name="_Toc19398_WPSOffice_Level3"/>
      <w:bookmarkStart w:id="40" w:name="_Toc29539_WPSOffice_Level3"/>
      <w:bookmarkStart w:id="41" w:name="_Toc26174_WPSOffice_Level3"/>
      <w:r>
        <w:rPr>
          <w:rFonts w:hint="eastAsia" w:ascii="宋体" w:hAnsi="宋体"/>
          <w:b/>
          <w:sz w:val="28"/>
          <w:szCs w:val="28"/>
          <w:lang w:val="en-US" w:eastAsia="zh-CN"/>
        </w:rPr>
        <w:t>2、</w:t>
      </w:r>
      <w:r>
        <w:rPr>
          <w:rFonts w:hint="eastAsia" w:ascii="宋体" w:hAnsi="宋体"/>
          <w:b/>
          <w:sz w:val="28"/>
          <w:szCs w:val="28"/>
        </w:rPr>
        <w:t>评价</w:t>
      </w:r>
      <w:r>
        <w:rPr>
          <w:rFonts w:hint="eastAsia" w:ascii="宋体" w:hAnsi="宋体"/>
          <w:b/>
          <w:sz w:val="28"/>
          <w:szCs w:val="28"/>
          <w:lang w:eastAsia="zh-CN"/>
        </w:rPr>
        <w:t>指标体系</w:t>
      </w:r>
      <w:bookmarkEnd w:id="35"/>
      <w:bookmarkEnd w:id="36"/>
      <w:bookmarkEnd w:id="37"/>
      <w:bookmarkEnd w:id="38"/>
      <w:bookmarkEnd w:id="39"/>
      <w:bookmarkEnd w:id="40"/>
      <w:bookmarkEnd w:id="41"/>
    </w:p>
    <w:p>
      <w:pPr>
        <w:widowControl/>
        <w:spacing w:line="480" w:lineRule="auto"/>
        <w:ind w:firstLine="560" w:firstLineChars="200"/>
        <w:rPr>
          <w:rFonts w:hint="eastAsia" w:ascii="宋体" w:hAnsi="宋体" w:cs="Times New Roman"/>
          <w:sz w:val="28"/>
          <w:szCs w:val="28"/>
          <w:highlight w:val="none"/>
          <w:lang w:eastAsia="zh-CN"/>
        </w:rPr>
      </w:pPr>
      <w:r>
        <w:rPr>
          <w:rFonts w:hint="eastAsia" w:ascii="宋体" w:hAnsi="宋体" w:cs="Times New Roman"/>
          <w:sz w:val="28"/>
          <w:szCs w:val="28"/>
          <w:highlight w:val="none"/>
          <w:lang w:val="en-US" w:eastAsia="zh-CN"/>
        </w:rPr>
        <w:t xml:space="preserve"> 2019年度巾帼扶贫车间项目</w:t>
      </w:r>
      <w:r>
        <w:rPr>
          <w:rFonts w:hint="eastAsia" w:ascii="宋体" w:hAnsi="宋体" w:cs="Times New Roman"/>
          <w:sz w:val="28"/>
          <w:szCs w:val="28"/>
          <w:highlight w:val="none"/>
          <w:lang w:eastAsia="zh-CN"/>
        </w:rPr>
        <w:t>绩效评价指标体系是综合反映巾帼扶贫车间项目的总体现象和特定概念，是衡量和评价项目资金的经济性、效率性和有效性的载体。</w:t>
      </w:r>
    </w:p>
    <w:p>
      <w:pPr>
        <w:widowControl/>
        <w:spacing w:line="480" w:lineRule="auto"/>
        <w:ind w:firstLine="560" w:firstLineChars="200"/>
        <w:rPr>
          <w:rFonts w:hint="eastAsia" w:ascii="宋体" w:hAnsi="宋体" w:cs="Times New Roman"/>
          <w:color w:val="auto"/>
          <w:sz w:val="28"/>
          <w:szCs w:val="28"/>
          <w:highlight w:val="none"/>
          <w:lang w:eastAsia="zh-CN"/>
        </w:rPr>
      </w:pPr>
      <w:r>
        <w:rPr>
          <w:rFonts w:hint="eastAsia" w:ascii="宋体" w:hAnsi="宋体"/>
          <w:sz w:val="28"/>
          <w:szCs w:val="28"/>
          <w:highlight w:val="none"/>
          <w:lang w:eastAsia="zh-CN"/>
        </w:rPr>
        <w:t>根</w:t>
      </w:r>
      <w:r>
        <w:rPr>
          <w:rFonts w:hint="eastAsia" w:ascii="宋体" w:hAnsi="宋体"/>
          <w:color w:val="auto"/>
          <w:sz w:val="28"/>
          <w:szCs w:val="28"/>
          <w:highlight w:val="none"/>
          <w:lang w:eastAsia="zh-CN"/>
        </w:rPr>
        <w:t>据《甘肃省妇女工作专项经费使用管理办法》（甘妇发[2014]56号）、《甘肃省妇联“巾帼扶贫车间”建设 指导意见（试行）》（甘妇发〔2018〕83号）、《甘肃省“巾帼 扶贫车间”专项资金管理暂行办法》（甘妇发〔2019〕8号）进</w:t>
      </w:r>
      <w:r>
        <w:rPr>
          <w:rFonts w:hint="eastAsia" w:ascii="宋体" w:hAnsi="宋体"/>
          <w:sz w:val="28"/>
          <w:szCs w:val="28"/>
          <w:highlight w:val="none"/>
          <w:lang w:eastAsia="zh-CN"/>
        </w:rPr>
        <w:t>行了</w:t>
      </w:r>
      <w:r>
        <w:rPr>
          <w:rFonts w:hint="eastAsia" w:ascii="宋体" w:hAnsi="宋体"/>
          <w:sz w:val="28"/>
          <w:szCs w:val="28"/>
          <w:highlight w:val="none"/>
          <w:lang w:val="en-US" w:eastAsia="zh-CN"/>
        </w:rPr>
        <w:t>2019年度绩效评价。</w:t>
      </w:r>
      <w:r>
        <w:rPr>
          <w:rFonts w:hint="eastAsia" w:ascii="宋体" w:hAnsi="宋体" w:cs="Times New Roman"/>
          <w:sz w:val="28"/>
          <w:szCs w:val="28"/>
          <w:highlight w:val="none"/>
          <w:lang w:eastAsia="zh-CN"/>
        </w:rPr>
        <w:t>为反映各地区投入产出情况，反复论证，经分析研究制定考核内容，主要涵盖资金投入、资金支出进度、资金监管、资金使用成效4个方面，充分反映2019年度巾帼扶贫车间经济效益和社会效益。</w:t>
      </w:r>
    </w:p>
    <w:p>
      <w:pPr>
        <w:widowControl/>
        <w:spacing w:line="480" w:lineRule="auto"/>
        <w:ind w:firstLine="560" w:firstLineChars="200"/>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1</w:t>
      </w:r>
      <w:r>
        <w:rPr>
          <w:rFonts w:hint="eastAsia" w:ascii="宋体" w:hAnsi="宋体" w:cs="Times New Roman"/>
          <w:color w:val="auto"/>
          <w:sz w:val="28"/>
          <w:szCs w:val="28"/>
          <w:highlight w:val="none"/>
          <w:lang w:eastAsia="zh-CN"/>
        </w:rPr>
        <w:t>） 指标体系包括</w:t>
      </w:r>
      <w:r>
        <w:rPr>
          <w:rFonts w:hint="eastAsia" w:ascii="宋体" w:hAnsi="宋体" w:cs="Times New Roman"/>
          <w:color w:val="auto"/>
          <w:sz w:val="28"/>
          <w:szCs w:val="28"/>
          <w:highlight w:val="none"/>
          <w:lang w:val="en-US" w:eastAsia="zh-CN"/>
        </w:rPr>
        <w:t>4个</w:t>
      </w:r>
      <w:r>
        <w:rPr>
          <w:rFonts w:hint="eastAsia" w:ascii="宋体" w:hAnsi="宋体" w:cs="Times New Roman"/>
          <w:color w:val="auto"/>
          <w:sz w:val="28"/>
          <w:szCs w:val="28"/>
          <w:highlight w:val="none"/>
          <w:lang w:eastAsia="zh-CN"/>
        </w:rPr>
        <w:t>一级指标、1</w:t>
      </w:r>
      <w:r>
        <w:rPr>
          <w:rFonts w:hint="eastAsia" w:ascii="宋体" w:hAnsi="宋体" w:cs="Times New Roman"/>
          <w:color w:val="auto"/>
          <w:sz w:val="28"/>
          <w:szCs w:val="28"/>
          <w:highlight w:val="none"/>
          <w:lang w:val="en-US" w:eastAsia="zh-CN"/>
        </w:rPr>
        <w:t>2</w:t>
      </w:r>
      <w:r>
        <w:rPr>
          <w:rFonts w:hint="eastAsia" w:ascii="宋体" w:hAnsi="宋体" w:cs="Times New Roman"/>
          <w:color w:val="auto"/>
          <w:sz w:val="28"/>
          <w:szCs w:val="28"/>
          <w:highlight w:val="none"/>
          <w:lang w:eastAsia="zh-CN"/>
        </w:rPr>
        <w:t>个二级指标。一级指标权重分别是：资金投入</w:t>
      </w:r>
      <w:r>
        <w:rPr>
          <w:rFonts w:hint="eastAsia" w:ascii="宋体" w:hAnsi="宋体" w:cs="Times New Roman"/>
          <w:color w:val="auto"/>
          <w:sz w:val="28"/>
          <w:szCs w:val="28"/>
          <w:highlight w:val="none"/>
          <w:lang w:val="en-US" w:eastAsia="zh-CN"/>
        </w:rPr>
        <w:t>1</w:t>
      </w:r>
      <w:r>
        <w:rPr>
          <w:rFonts w:hint="eastAsia" w:ascii="宋体" w:hAnsi="宋体" w:cs="Times New Roman"/>
          <w:color w:val="auto"/>
          <w:sz w:val="28"/>
          <w:szCs w:val="28"/>
          <w:highlight w:val="none"/>
          <w:lang w:eastAsia="zh-CN"/>
        </w:rPr>
        <w:t>0%、资金支出进度1</w:t>
      </w:r>
      <w:r>
        <w:rPr>
          <w:rFonts w:hint="eastAsia" w:ascii="宋体" w:hAnsi="宋体" w:cs="Times New Roman"/>
          <w:color w:val="auto"/>
          <w:sz w:val="28"/>
          <w:szCs w:val="28"/>
          <w:highlight w:val="none"/>
          <w:lang w:val="en-US" w:eastAsia="zh-CN"/>
        </w:rPr>
        <w:t>5</w:t>
      </w:r>
      <w:r>
        <w:rPr>
          <w:rFonts w:hint="eastAsia" w:ascii="宋体" w:hAnsi="宋体" w:cs="Times New Roman"/>
          <w:color w:val="auto"/>
          <w:sz w:val="28"/>
          <w:szCs w:val="28"/>
          <w:highlight w:val="none"/>
          <w:lang w:eastAsia="zh-CN"/>
        </w:rPr>
        <w:t>%、资金监管</w:t>
      </w:r>
      <w:r>
        <w:rPr>
          <w:rFonts w:hint="eastAsia" w:ascii="宋体" w:hAnsi="宋体" w:cs="Times New Roman"/>
          <w:color w:val="auto"/>
          <w:sz w:val="28"/>
          <w:szCs w:val="28"/>
          <w:highlight w:val="none"/>
          <w:lang w:val="en-US" w:eastAsia="zh-CN"/>
        </w:rPr>
        <w:t>2</w:t>
      </w:r>
      <w:r>
        <w:rPr>
          <w:rFonts w:hint="eastAsia" w:ascii="宋体" w:hAnsi="宋体" w:cs="Times New Roman"/>
          <w:color w:val="auto"/>
          <w:sz w:val="28"/>
          <w:szCs w:val="28"/>
          <w:highlight w:val="none"/>
          <w:lang w:eastAsia="zh-CN"/>
        </w:rPr>
        <w:t>0%、资金使用成效</w:t>
      </w:r>
      <w:r>
        <w:rPr>
          <w:rFonts w:hint="eastAsia" w:ascii="宋体" w:hAnsi="宋体" w:cs="Times New Roman"/>
          <w:color w:val="auto"/>
          <w:sz w:val="28"/>
          <w:szCs w:val="28"/>
          <w:highlight w:val="none"/>
          <w:lang w:val="en-US" w:eastAsia="zh-CN"/>
        </w:rPr>
        <w:t>55</w:t>
      </w:r>
      <w:r>
        <w:rPr>
          <w:rFonts w:hint="eastAsia" w:ascii="宋体" w:hAnsi="宋体" w:cs="Times New Roman"/>
          <w:color w:val="auto"/>
          <w:sz w:val="28"/>
          <w:szCs w:val="28"/>
          <w:highlight w:val="none"/>
          <w:lang w:eastAsia="zh-CN"/>
        </w:rPr>
        <w:t>%（详见附件</w:t>
      </w:r>
      <w:r>
        <w:rPr>
          <w:rFonts w:hint="eastAsia" w:ascii="宋体" w:hAnsi="宋体" w:cs="Times New Roman"/>
          <w:color w:val="auto"/>
          <w:sz w:val="28"/>
          <w:szCs w:val="28"/>
          <w:highlight w:val="none"/>
          <w:lang w:val="en-US" w:eastAsia="zh-CN"/>
        </w:rPr>
        <w:t>1</w:t>
      </w:r>
      <w:r>
        <w:rPr>
          <w:rFonts w:hint="eastAsia" w:ascii="宋体" w:hAnsi="宋体" w:cs="Times New Roman"/>
          <w:color w:val="auto"/>
          <w:sz w:val="28"/>
          <w:szCs w:val="28"/>
          <w:highlight w:val="none"/>
          <w:lang w:eastAsia="zh-CN"/>
        </w:rPr>
        <w:t>）。</w:t>
      </w:r>
    </w:p>
    <w:p>
      <w:pPr>
        <w:widowControl/>
        <w:spacing w:line="480" w:lineRule="auto"/>
        <w:ind w:firstLine="560" w:firstLineChars="200"/>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2</w:t>
      </w:r>
      <w:r>
        <w:rPr>
          <w:rFonts w:hint="eastAsia" w:ascii="宋体" w:hAnsi="宋体" w:cs="Times New Roman"/>
          <w:color w:val="auto"/>
          <w:sz w:val="28"/>
          <w:szCs w:val="28"/>
          <w:highlight w:val="none"/>
          <w:lang w:eastAsia="zh-CN"/>
        </w:rPr>
        <w:t>）为确保不同二级指标的可比性，二级指标得分为每项得分的标准分数。标准分数计算公式：</w:t>
      </w:r>
    </w:p>
    <w:p>
      <w:pPr>
        <w:widowControl/>
        <w:spacing w:line="480" w:lineRule="auto"/>
        <w:ind w:firstLine="560" w:firstLineChars="200"/>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drawing>
          <wp:inline distT="0" distB="0" distL="114300" distR="114300">
            <wp:extent cx="1533525" cy="49530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533525" cy="495300"/>
                    </a:xfrm>
                    <a:prstGeom prst="rect">
                      <a:avLst/>
                    </a:prstGeom>
                    <a:noFill/>
                    <a:ln>
                      <a:noFill/>
                    </a:ln>
                  </pic:spPr>
                </pic:pic>
              </a:graphicData>
            </a:graphic>
          </wp:inline>
        </w:drawing>
      </w:r>
    </w:p>
    <w:p>
      <w:pPr>
        <w:widowControl/>
        <w:spacing w:line="480" w:lineRule="auto"/>
        <w:ind w:firstLine="560" w:firstLineChars="200"/>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其中：X为各地区该二级指标的计分值，Xmax和Xmin分别为各地区二级指标计分的最大值和最小值。</w:t>
      </w:r>
    </w:p>
    <w:p>
      <w:pPr>
        <w:widowControl/>
        <w:spacing w:line="48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考核总得分为二级指标得分之和乘以一级指标所占权重，即：</w:t>
      </w:r>
    </w:p>
    <w:p>
      <w:pPr>
        <w:ind w:firstLine="1120" w:firstLineChars="400"/>
        <w:rPr>
          <w:rFonts w:hint="eastAsia" w:ascii="仿宋" w:hAnsi="仿宋" w:eastAsia="仿宋" w:cs="仿宋"/>
          <w:color w:val="C00000"/>
          <w:sz w:val="30"/>
          <w:szCs w:val="30"/>
        </w:rPr>
      </w:pPr>
      <w:r>
        <w:rPr>
          <w:rFonts w:hint="eastAsia" w:ascii="宋体" w:hAnsi="宋体" w:eastAsia="宋体" w:cs="宋体"/>
          <w:color w:val="auto"/>
          <w:sz w:val="28"/>
          <w:szCs w:val="28"/>
        </w:rPr>
        <w:t>总得分</w:t>
      </w:r>
      <w:r>
        <w:rPr>
          <w:rFonts w:hint="eastAsia" w:ascii="仿宋" w:hAnsi="仿宋" w:eastAsia="仿宋" w:cs="仿宋"/>
          <w:color w:val="C00000"/>
          <w:position w:val="-30"/>
          <w:sz w:val="30"/>
          <w:szCs w:val="30"/>
        </w:rPr>
        <w:drawing>
          <wp:inline distT="0" distB="0" distL="114300" distR="114300">
            <wp:extent cx="3667125" cy="533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667125" cy="533400"/>
                    </a:xfrm>
                    <a:prstGeom prst="rect">
                      <a:avLst/>
                    </a:prstGeom>
                    <a:noFill/>
                    <a:ln>
                      <a:noFill/>
                    </a:ln>
                  </pic:spPr>
                </pic:pic>
              </a:graphicData>
            </a:graphic>
          </wp:inline>
        </w:drawing>
      </w:r>
    </w:p>
    <w:p>
      <w:pPr>
        <w:widowControl/>
        <w:spacing w:line="360" w:lineRule="auto"/>
        <w:ind w:firstLine="560" w:firstLineChars="200"/>
        <w:rPr>
          <w:rFonts w:hint="eastAsia" w:ascii="宋体" w:hAnsi="宋体" w:cs="Times New Roman"/>
          <w:color w:val="auto"/>
          <w:sz w:val="28"/>
          <w:szCs w:val="28"/>
          <w:highlight w:val="none"/>
          <w:lang w:eastAsia="zh-CN"/>
        </w:rPr>
      </w:pPr>
      <w:r>
        <w:rPr>
          <w:rFonts w:hint="eastAsia" w:ascii="宋体" w:hAnsi="宋体" w:eastAsia="宋体" w:cs="宋体"/>
          <w:color w:val="auto"/>
          <w:sz w:val="28"/>
          <w:szCs w:val="28"/>
        </w:rPr>
        <w:t>其中：Ai-Di为各二级指标得分，Ki为第i项指标的权重系数</w:t>
      </w:r>
    </w:p>
    <w:p>
      <w:pPr>
        <w:widowControl/>
        <w:numPr>
          <w:ilvl w:val="0"/>
          <w:numId w:val="8"/>
        </w:numPr>
        <w:spacing w:line="480" w:lineRule="auto"/>
        <w:ind w:firstLine="562" w:firstLineChars="200"/>
        <w:outlineLvl w:val="2"/>
        <w:rPr>
          <w:rFonts w:hint="eastAsia" w:ascii="宋体" w:hAnsi="宋体"/>
          <w:b/>
          <w:bCs/>
          <w:color w:val="auto"/>
          <w:sz w:val="28"/>
          <w:szCs w:val="28"/>
          <w:lang w:val="en-US" w:eastAsia="zh-CN"/>
        </w:rPr>
      </w:pPr>
      <w:bookmarkStart w:id="42" w:name="_Toc7622"/>
      <w:bookmarkStart w:id="43" w:name="_Toc12270_WPSOffice_Level3"/>
      <w:bookmarkStart w:id="44" w:name="_Toc16245_WPSOffice_Level3"/>
      <w:bookmarkStart w:id="45" w:name="_Toc17336_WPSOffice_Level3"/>
      <w:bookmarkStart w:id="46" w:name="_Toc1425_WPSOffice_Level3"/>
      <w:bookmarkStart w:id="47" w:name="_Toc13963_WPSOffice_Level3"/>
      <w:bookmarkStart w:id="48" w:name="_Toc21581_WPSOffice_Level3"/>
      <w:r>
        <w:rPr>
          <w:rFonts w:hint="eastAsia" w:ascii="宋体" w:hAnsi="宋体"/>
          <w:b/>
          <w:bCs/>
          <w:color w:val="auto"/>
          <w:sz w:val="28"/>
          <w:szCs w:val="28"/>
          <w:lang w:val="en-US" w:eastAsia="zh-CN"/>
        </w:rPr>
        <w:t>绩效标准</w:t>
      </w:r>
      <w:bookmarkEnd w:id="42"/>
      <w:bookmarkEnd w:id="43"/>
      <w:bookmarkEnd w:id="44"/>
      <w:bookmarkEnd w:id="45"/>
      <w:bookmarkEnd w:id="46"/>
      <w:bookmarkEnd w:id="47"/>
      <w:bookmarkEnd w:id="48"/>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b w:val="0"/>
          <w:bCs w:val="0"/>
          <w:color w:val="auto"/>
          <w:sz w:val="28"/>
          <w:szCs w:val="28"/>
          <w:lang w:val="en-US" w:eastAsia="zh-CN"/>
        </w:rPr>
      </w:pPr>
      <w:r>
        <w:rPr>
          <w:rFonts w:hint="eastAsia" w:ascii="宋体" w:hAnsi="宋体" w:cs="Times New Roman"/>
          <w:color w:val="auto"/>
          <w:sz w:val="28"/>
          <w:szCs w:val="28"/>
          <w:highlight w:val="none"/>
          <w:lang w:eastAsia="zh-CN"/>
        </w:rPr>
        <w:t>指标体系包括</w:t>
      </w:r>
      <w:r>
        <w:rPr>
          <w:rFonts w:hint="eastAsia" w:ascii="宋体" w:hAnsi="宋体" w:cs="Times New Roman"/>
          <w:color w:val="auto"/>
          <w:sz w:val="28"/>
          <w:szCs w:val="28"/>
          <w:highlight w:val="none"/>
          <w:lang w:val="en-US" w:eastAsia="zh-CN"/>
        </w:rPr>
        <w:t>4个</w:t>
      </w:r>
      <w:r>
        <w:rPr>
          <w:rFonts w:hint="eastAsia" w:ascii="宋体" w:hAnsi="宋体" w:cs="Times New Roman"/>
          <w:color w:val="auto"/>
          <w:sz w:val="28"/>
          <w:szCs w:val="28"/>
          <w:highlight w:val="none"/>
          <w:lang w:eastAsia="zh-CN"/>
        </w:rPr>
        <w:t>一级指标、1</w:t>
      </w:r>
      <w:r>
        <w:rPr>
          <w:rFonts w:hint="eastAsia" w:ascii="宋体" w:hAnsi="宋体" w:cs="Times New Roman"/>
          <w:color w:val="auto"/>
          <w:sz w:val="28"/>
          <w:szCs w:val="28"/>
          <w:highlight w:val="none"/>
          <w:lang w:val="en-US" w:eastAsia="zh-CN"/>
        </w:rPr>
        <w:t>2</w:t>
      </w:r>
      <w:r>
        <w:rPr>
          <w:rFonts w:hint="eastAsia" w:ascii="宋体" w:hAnsi="宋体" w:cs="Times New Roman"/>
          <w:color w:val="auto"/>
          <w:sz w:val="28"/>
          <w:szCs w:val="28"/>
          <w:highlight w:val="none"/>
          <w:lang w:eastAsia="zh-CN"/>
        </w:rPr>
        <w:t>个二级指标。一级指标分数分别是：资金投入</w:t>
      </w:r>
      <w:r>
        <w:rPr>
          <w:rFonts w:hint="eastAsia" w:ascii="宋体" w:hAnsi="宋体" w:cs="Times New Roman"/>
          <w:color w:val="auto"/>
          <w:sz w:val="28"/>
          <w:szCs w:val="28"/>
          <w:highlight w:val="none"/>
          <w:lang w:val="en-US" w:eastAsia="zh-CN"/>
        </w:rPr>
        <w:t>10分、资金支出进度15分、资金监管20分、资金使用成效55分；二级指标分数分别是:省级财政专项资金拨付5分、项目资金投入5分、年度项目资金结转结余率10分、当年资金拨付进度5分、项目资金使用情况自查5分、项目执行情况督查10分、绩效评价制度及落实情况5分、项目培训总人数10分、培训建档立卡贫困妇女10分、开展订单培训情况10分、受训妇女通过掌握手工技能增收情况20分、管理制度建设5分。</w:t>
      </w:r>
    </w:p>
    <w:p>
      <w:pPr>
        <w:widowControl/>
        <w:spacing w:line="480" w:lineRule="auto"/>
        <w:ind w:firstLine="562" w:firstLineChars="200"/>
        <w:outlineLvl w:val="2"/>
        <w:rPr>
          <w:rFonts w:hint="eastAsia" w:ascii="宋体" w:hAnsi="宋体"/>
          <w:b/>
          <w:bCs/>
          <w:sz w:val="28"/>
          <w:szCs w:val="28"/>
          <w:lang w:val="en-US" w:eastAsia="zh-CN"/>
        </w:rPr>
      </w:pPr>
      <w:bookmarkStart w:id="49" w:name="_Toc20147_WPSOffice_Level3"/>
      <w:bookmarkStart w:id="50" w:name="_Toc18460_WPSOffice_Level3"/>
      <w:bookmarkStart w:id="51" w:name="_Toc30800_WPSOffice_Level3"/>
      <w:bookmarkStart w:id="52" w:name="_Toc13346_WPSOffice_Level3"/>
      <w:bookmarkStart w:id="53" w:name="_Toc12466_WPSOffice_Level3"/>
      <w:bookmarkStart w:id="54" w:name="_Toc4000_WPSOffice_Level3"/>
      <w:bookmarkStart w:id="55" w:name="_Toc10335"/>
      <w:r>
        <w:rPr>
          <w:rFonts w:hint="eastAsia" w:ascii="宋体" w:hAnsi="宋体"/>
          <w:b/>
          <w:bCs/>
          <w:sz w:val="28"/>
          <w:szCs w:val="28"/>
          <w:lang w:val="en-US" w:eastAsia="zh-CN"/>
        </w:rPr>
        <w:t>4、评价方法</w:t>
      </w:r>
      <w:bookmarkEnd w:id="49"/>
      <w:bookmarkEnd w:id="50"/>
      <w:bookmarkEnd w:id="51"/>
      <w:bookmarkEnd w:id="52"/>
      <w:bookmarkEnd w:id="53"/>
      <w:bookmarkEnd w:id="54"/>
      <w:bookmarkEnd w:id="55"/>
    </w:p>
    <w:p>
      <w:pPr>
        <w:widowControl/>
        <w:spacing w:line="480" w:lineRule="auto"/>
        <w:ind w:firstLine="560" w:firstLineChars="200"/>
        <w:rPr>
          <w:rFonts w:hint="default" w:ascii="宋体" w:hAnsi="宋体"/>
          <w:b/>
          <w:bCs/>
          <w:sz w:val="28"/>
          <w:szCs w:val="28"/>
          <w:lang w:val="en-US" w:eastAsia="zh-CN"/>
        </w:rPr>
      </w:pPr>
      <w:r>
        <w:rPr>
          <w:rFonts w:hint="eastAsia" w:ascii="宋体" w:hAnsi="宋体"/>
          <w:sz w:val="28"/>
          <w:szCs w:val="28"/>
        </w:rPr>
        <w:t>本次绩效评价采用定量与定性相结合、项目实施单位自评与工作小组抽查评价相结合，运用比较法、专家评议等方法进行评价，绩效评估的方法是比较科学的，</w:t>
      </w:r>
      <w:r>
        <w:rPr>
          <w:rFonts w:hint="eastAsia" w:ascii="宋体" w:hAnsi="宋体"/>
          <w:sz w:val="28"/>
          <w:szCs w:val="28"/>
          <w:u w:val="none"/>
        </w:rPr>
        <w:t>能够相对</w:t>
      </w:r>
      <w:r>
        <w:rPr>
          <w:rFonts w:hint="eastAsia" w:ascii="宋体" w:hAnsi="宋体"/>
          <w:sz w:val="28"/>
          <w:szCs w:val="28"/>
          <w:u w:val="none"/>
          <w:lang w:eastAsia="zh-CN"/>
        </w:rPr>
        <w:t>反映巾帼扶贫车间绩效评价</w:t>
      </w:r>
      <w:r>
        <w:rPr>
          <w:rFonts w:hint="eastAsia" w:ascii="宋体" w:hAnsi="宋体"/>
          <w:sz w:val="28"/>
          <w:szCs w:val="28"/>
          <w:u w:val="none"/>
        </w:rPr>
        <w:t>的发展趋势</w:t>
      </w:r>
      <w:r>
        <w:rPr>
          <w:rFonts w:hint="eastAsia" w:ascii="宋体" w:hAnsi="宋体"/>
          <w:sz w:val="28"/>
          <w:szCs w:val="28"/>
        </w:rPr>
        <w:t>。</w:t>
      </w:r>
    </w:p>
    <w:p>
      <w:pPr>
        <w:widowControl/>
        <w:spacing w:line="480" w:lineRule="auto"/>
        <w:ind w:firstLine="562" w:firstLineChars="200"/>
        <w:outlineLvl w:val="1"/>
        <w:rPr>
          <w:rFonts w:hint="eastAsia" w:ascii="宋体" w:hAnsi="宋体"/>
          <w:b/>
          <w:sz w:val="28"/>
          <w:szCs w:val="28"/>
          <w:lang w:eastAsia="zh-CN"/>
        </w:rPr>
      </w:pPr>
      <w:bookmarkStart w:id="56" w:name="_Toc14693"/>
      <w:r>
        <w:rPr>
          <w:rFonts w:hint="eastAsia" w:ascii="宋体" w:hAnsi="宋体"/>
          <w:b/>
          <w:sz w:val="28"/>
          <w:szCs w:val="28"/>
        </w:rPr>
        <w:t>（四）</w:t>
      </w:r>
      <w:r>
        <w:rPr>
          <w:rFonts w:hint="eastAsia" w:ascii="宋体" w:hAnsi="宋体"/>
          <w:b/>
          <w:sz w:val="28"/>
          <w:szCs w:val="28"/>
          <w:lang w:eastAsia="zh-CN"/>
        </w:rPr>
        <w:t>证据收集方法</w:t>
      </w:r>
      <w:bookmarkEnd w:id="56"/>
    </w:p>
    <w:p>
      <w:pPr>
        <w:widowControl/>
        <w:spacing w:line="480" w:lineRule="auto"/>
        <w:ind w:firstLine="560" w:firstLineChars="200"/>
        <w:outlineLvl w:val="2"/>
        <w:rPr>
          <w:rFonts w:hint="eastAsia" w:ascii="宋体" w:hAnsi="宋体"/>
          <w:b w:val="0"/>
          <w:bCs/>
          <w:sz w:val="28"/>
          <w:szCs w:val="28"/>
          <w:highlight w:val="none"/>
          <w:lang w:val="en-US" w:eastAsia="zh-CN"/>
        </w:rPr>
      </w:pPr>
      <w:bookmarkStart w:id="57" w:name="_Toc19612_WPSOffice_Level3"/>
      <w:bookmarkStart w:id="58" w:name="_Toc27225_WPSOffice_Level3"/>
      <w:bookmarkStart w:id="59" w:name="_Toc29380_WPSOffice_Level3"/>
      <w:bookmarkStart w:id="60" w:name="_Toc32254_WPSOffice_Level3"/>
      <w:bookmarkStart w:id="61" w:name="_Toc10003_WPSOffice_Level3"/>
      <w:bookmarkStart w:id="62" w:name="_Toc8263_WPSOffice_Level3"/>
      <w:bookmarkStart w:id="63" w:name="_Toc480_WPSOffice_Level3"/>
      <w:bookmarkStart w:id="64" w:name="_Toc15312"/>
      <w:r>
        <w:rPr>
          <w:rFonts w:hint="eastAsia" w:ascii="宋体" w:hAnsi="宋体"/>
          <w:b w:val="0"/>
          <w:bCs/>
          <w:sz w:val="28"/>
          <w:szCs w:val="28"/>
          <w:highlight w:val="none"/>
          <w:lang w:val="en-US" w:eastAsia="zh-CN"/>
        </w:rPr>
        <w:t>1、案卷研究</w:t>
      </w:r>
      <w:bookmarkEnd w:id="57"/>
      <w:bookmarkEnd w:id="58"/>
      <w:bookmarkEnd w:id="59"/>
      <w:bookmarkEnd w:id="60"/>
      <w:bookmarkEnd w:id="61"/>
      <w:bookmarkEnd w:id="62"/>
      <w:bookmarkEnd w:id="63"/>
      <w:bookmarkEnd w:id="64"/>
    </w:p>
    <w:p>
      <w:pPr>
        <w:widowControl/>
        <w:spacing w:line="480" w:lineRule="auto"/>
        <w:ind w:firstLine="560" w:firstLineChars="200"/>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案卷研究是从现有的文档资料中寻找证据的过程。这些文档资料包括项目文件、国家和地方的发展政策和战略、各种相关的研究和咨询报告等。案卷研究要注意对同一指标在不同项目文件中的证据进行对比核实，如果不同来源的证据存在差异，那么要分析差异的原因，并且在实地调研中进行核查，最后决定选择使用哪个来源的证据。</w:t>
      </w:r>
    </w:p>
    <w:p>
      <w:pPr>
        <w:widowControl/>
        <w:numPr>
          <w:ilvl w:val="0"/>
          <w:numId w:val="9"/>
        </w:numPr>
        <w:spacing w:line="480" w:lineRule="auto"/>
        <w:ind w:firstLine="560" w:firstLineChars="200"/>
        <w:outlineLvl w:val="2"/>
        <w:rPr>
          <w:rFonts w:hint="eastAsia" w:ascii="宋体" w:hAnsi="宋体"/>
          <w:b w:val="0"/>
          <w:bCs/>
          <w:sz w:val="28"/>
          <w:szCs w:val="28"/>
          <w:highlight w:val="none"/>
          <w:lang w:val="en-US" w:eastAsia="zh-CN"/>
        </w:rPr>
      </w:pPr>
      <w:bookmarkStart w:id="65" w:name="_Toc31818"/>
      <w:bookmarkStart w:id="66" w:name="_Toc6323_WPSOffice_Level3"/>
      <w:bookmarkStart w:id="67" w:name="_Toc24594_WPSOffice_Level3"/>
      <w:bookmarkStart w:id="68" w:name="_Toc7970_WPSOffice_Level3"/>
      <w:bookmarkStart w:id="69" w:name="_Toc5742_WPSOffice_Level3"/>
      <w:bookmarkStart w:id="70" w:name="_Toc31915_WPSOffice_Level3"/>
      <w:bookmarkStart w:id="71" w:name="_Toc11791_WPSOffice_Level3"/>
      <w:r>
        <w:rPr>
          <w:rFonts w:hint="eastAsia" w:ascii="宋体" w:hAnsi="宋体"/>
          <w:b w:val="0"/>
          <w:bCs/>
          <w:sz w:val="28"/>
          <w:szCs w:val="28"/>
          <w:highlight w:val="none"/>
          <w:lang w:val="en-US" w:eastAsia="zh-CN"/>
        </w:rPr>
        <w:t>问卷调查</w:t>
      </w:r>
      <w:bookmarkEnd w:id="65"/>
      <w:bookmarkEnd w:id="66"/>
      <w:bookmarkEnd w:id="67"/>
      <w:bookmarkEnd w:id="68"/>
      <w:bookmarkEnd w:id="69"/>
      <w:bookmarkEnd w:id="70"/>
      <w:bookmarkEnd w:id="71"/>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发放文件调查是确保有关定性指标真实、准确的基础，主要由评价人员亲自发放和收回，不得经由评价客体内部人员间接发放或收回。问卷调查的发放范围和数量由评价机构根据评价工作的实际情况确定。</w:t>
      </w:r>
    </w:p>
    <w:p>
      <w:pPr>
        <w:keepNext w:val="0"/>
        <w:keepLines w:val="0"/>
        <w:pageBreakBefore w:val="0"/>
        <w:widowControl/>
        <w:numPr>
          <w:ilvl w:val="0"/>
          <w:numId w:val="9"/>
        </w:numPr>
        <w:kinsoku/>
        <w:wordWrap/>
        <w:overflowPunct/>
        <w:topLinePunct w:val="0"/>
        <w:autoSpaceDE/>
        <w:autoSpaceDN/>
        <w:bidi w:val="0"/>
        <w:adjustRightInd/>
        <w:snapToGrid/>
        <w:spacing w:line="480" w:lineRule="auto"/>
        <w:ind w:left="0" w:leftChars="0" w:firstLine="560" w:firstLineChars="200"/>
        <w:textAlignment w:val="auto"/>
        <w:outlineLvl w:val="2"/>
        <w:rPr>
          <w:rFonts w:hint="eastAsia" w:ascii="宋体" w:hAnsi="宋体"/>
          <w:b w:val="0"/>
          <w:bCs/>
          <w:sz w:val="28"/>
          <w:szCs w:val="28"/>
          <w:highlight w:val="none"/>
          <w:lang w:val="en-US" w:eastAsia="zh-CN"/>
        </w:rPr>
      </w:pPr>
      <w:bookmarkStart w:id="72" w:name="_Toc27419"/>
      <w:bookmarkStart w:id="73" w:name="_Toc20195_WPSOffice_Level3"/>
      <w:bookmarkStart w:id="74" w:name="_Toc14852_WPSOffice_Level3"/>
      <w:bookmarkStart w:id="75" w:name="_Toc737_WPSOffice_Level3"/>
      <w:bookmarkStart w:id="76" w:name="_Toc5030_WPSOffice_Level3"/>
      <w:bookmarkStart w:id="77" w:name="_Toc26247_WPSOffice_Level3"/>
      <w:bookmarkStart w:id="78" w:name="_Toc16578_WPSOffice_Level3"/>
      <w:r>
        <w:rPr>
          <w:rFonts w:hint="eastAsia" w:ascii="宋体" w:hAnsi="宋体"/>
          <w:b w:val="0"/>
          <w:bCs/>
          <w:sz w:val="28"/>
          <w:szCs w:val="28"/>
          <w:highlight w:val="none"/>
          <w:lang w:val="en-US" w:eastAsia="zh-CN"/>
        </w:rPr>
        <w:t>访谈</w:t>
      </w:r>
      <w:bookmarkEnd w:id="72"/>
      <w:bookmarkEnd w:id="73"/>
      <w:bookmarkEnd w:id="74"/>
      <w:bookmarkEnd w:id="75"/>
      <w:bookmarkEnd w:id="76"/>
      <w:bookmarkEnd w:id="77"/>
      <w:bookmarkEnd w:id="78"/>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评价小组在开展面访之前要做好以下准备工作：从项目利益相关者中确定访谈对象；设计访谈问题清单；编写访谈日程。访谈对象是能够为绩效评价提供切实有用数据的人，一般包括以下几类人员：项目的管理人员，包括管理部门和项目单位人员；负责项目实施和运行的人员。</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outlineLvl w:val="2"/>
        <w:rPr>
          <w:rFonts w:hint="eastAsia" w:ascii="宋体" w:hAnsi="宋体"/>
          <w:b w:val="0"/>
          <w:bCs/>
          <w:color w:val="auto"/>
          <w:sz w:val="28"/>
          <w:szCs w:val="28"/>
          <w:highlight w:val="none"/>
          <w:lang w:val="en-US" w:eastAsia="zh-CN"/>
        </w:rPr>
      </w:pPr>
      <w:bookmarkStart w:id="79" w:name="_Toc9017_WPSOffice_Level3"/>
      <w:bookmarkStart w:id="80" w:name="_Toc10311_WPSOffice_Level3"/>
      <w:bookmarkStart w:id="81" w:name="_Toc7838_WPSOffice_Level3"/>
      <w:bookmarkStart w:id="82" w:name="_Toc7260_WPSOffice_Level3"/>
      <w:bookmarkStart w:id="83" w:name="_Toc20126_WPSOffice_Level3"/>
      <w:bookmarkStart w:id="84" w:name="_Toc20503_WPSOffice_Level3"/>
      <w:bookmarkStart w:id="85" w:name="_Toc14235"/>
      <w:r>
        <w:rPr>
          <w:rFonts w:hint="eastAsia" w:ascii="宋体" w:hAnsi="宋体"/>
          <w:b w:val="0"/>
          <w:bCs/>
          <w:color w:val="auto"/>
          <w:sz w:val="28"/>
          <w:szCs w:val="28"/>
          <w:highlight w:val="none"/>
          <w:lang w:val="en-US" w:eastAsia="zh-CN"/>
        </w:rPr>
        <w:t>4、</w:t>
      </w:r>
      <w:bookmarkStart w:id="86" w:name="_Toc27316_WPSOffice_Level3"/>
      <w:r>
        <w:rPr>
          <w:rFonts w:hint="eastAsia" w:ascii="宋体" w:hAnsi="宋体"/>
          <w:b w:val="0"/>
          <w:bCs/>
          <w:color w:val="auto"/>
          <w:sz w:val="28"/>
          <w:szCs w:val="28"/>
          <w:highlight w:val="none"/>
          <w:lang w:val="en-US" w:eastAsia="zh-CN"/>
        </w:rPr>
        <w:t>座谈会</w:t>
      </w:r>
      <w:bookmarkEnd w:id="79"/>
      <w:bookmarkEnd w:id="80"/>
      <w:bookmarkEnd w:id="81"/>
      <w:bookmarkEnd w:id="82"/>
      <w:bookmarkEnd w:id="83"/>
      <w:bookmarkEnd w:id="84"/>
      <w:bookmarkEnd w:id="85"/>
      <w:bookmarkEnd w:id="86"/>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绩效评价小组把有代表性的利益相关者召集起来，围绕座谈会问题清单进行讨论，进而收集绩效评价所需的证据。召开座谈会之前，评价小组要做好以下准备工作：（1）确定座谈会的次数和参会的利益相关者；（2）涉及座谈会问题清单；（3）设计座谈会的日程安排，包括召开的程序、时间和地点。</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outlineLvl w:val="2"/>
        <w:rPr>
          <w:rFonts w:hint="eastAsia" w:ascii="宋体" w:hAnsi="宋体"/>
          <w:b w:val="0"/>
          <w:bCs/>
          <w:sz w:val="28"/>
          <w:szCs w:val="28"/>
          <w:highlight w:val="none"/>
          <w:lang w:val="en-US" w:eastAsia="zh-CN"/>
        </w:rPr>
      </w:pPr>
      <w:bookmarkStart w:id="87" w:name="_Toc7758_WPSOffice_Level3"/>
      <w:bookmarkStart w:id="88" w:name="_Toc31728_WPSOffice_Level3"/>
      <w:bookmarkStart w:id="89" w:name="_Toc23670_WPSOffice_Level3"/>
      <w:bookmarkStart w:id="90" w:name="_Toc26095_WPSOffice_Level3"/>
      <w:bookmarkStart w:id="91" w:name="_Toc25326_WPSOffice_Level3"/>
      <w:bookmarkStart w:id="92" w:name="_Toc18991"/>
      <w:bookmarkStart w:id="93" w:name="_Toc15813_WPSOffice_Level3"/>
      <w:r>
        <w:rPr>
          <w:rFonts w:hint="eastAsia" w:ascii="宋体" w:hAnsi="宋体"/>
          <w:b w:val="0"/>
          <w:bCs/>
          <w:sz w:val="28"/>
          <w:szCs w:val="28"/>
          <w:highlight w:val="none"/>
          <w:lang w:val="en-US" w:eastAsia="zh-CN"/>
        </w:rPr>
        <w:t>5、电子邮箱</w:t>
      </w:r>
      <w:bookmarkEnd w:id="87"/>
      <w:bookmarkEnd w:id="88"/>
      <w:bookmarkEnd w:id="89"/>
      <w:bookmarkEnd w:id="90"/>
      <w:bookmarkEnd w:id="91"/>
      <w:bookmarkEnd w:id="92"/>
      <w:bookmarkEnd w:id="93"/>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b w:val="0"/>
          <w:bCs/>
          <w:sz w:val="28"/>
          <w:szCs w:val="28"/>
          <w:highlight w:val="none"/>
          <w:lang w:val="en-US" w:eastAsia="zh-CN"/>
        </w:rPr>
      </w:pPr>
      <w:r>
        <w:rPr>
          <w:rFonts w:hint="eastAsia" w:ascii="宋体" w:hAnsi="宋体"/>
          <w:b w:val="0"/>
          <w:bCs/>
          <w:sz w:val="28"/>
          <w:szCs w:val="28"/>
          <w:highlight w:val="none"/>
          <w:lang w:val="en-US" w:eastAsia="zh-CN"/>
        </w:rPr>
        <w:t>各项目单位按照绩效评价小组提供资料清单将项目的资料以电子版的形式交给绩效评价小组，随后以纸质版的形式将资料收集归档留底。</w:t>
      </w:r>
    </w:p>
    <w:p>
      <w:pPr>
        <w:widowControl/>
        <w:spacing w:line="480" w:lineRule="auto"/>
        <w:ind w:firstLine="562" w:firstLineChars="200"/>
        <w:outlineLvl w:val="1"/>
        <w:rPr>
          <w:rFonts w:hint="eastAsia" w:ascii="宋体" w:hAnsi="宋体"/>
          <w:b/>
          <w:sz w:val="28"/>
          <w:szCs w:val="28"/>
          <w:lang w:eastAsia="zh-CN"/>
        </w:rPr>
      </w:pPr>
      <w:bookmarkStart w:id="94" w:name="_Toc8551"/>
      <w:r>
        <w:rPr>
          <w:rFonts w:hint="eastAsia" w:ascii="宋体" w:hAnsi="宋体"/>
          <w:b/>
          <w:sz w:val="28"/>
          <w:szCs w:val="28"/>
        </w:rPr>
        <w:t>（五）</w:t>
      </w:r>
      <w:r>
        <w:rPr>
          <w:rFonts w:hint="eastAsia" w:ascii="宋体" w:hAnsi="宋体"/>
          <w:b/>
          <w:sz w:val="28"/>
          <w:szCs w:val="28"/>
          <w:lang w:eastAsia="zh-CN"/>
        </w:rPr>
        <w:t>绩效评价实施过程</w:t>
      </w:r>
      <w:bookmarkEnd w:id="94"/>
    </w:p>
    <w:p>
      <w:pPr>
        <w:widowControl/>
        <w:spacing w:line="48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lang w:val="en-US" w:eastAsia="zh-CN"/>
        </w:rPr>
        <w:t>1、</w:t>
      </w:r>
      <w:r>
        <w:rPr>
          <w:rFonts w:hint="eastAsia" w:ascii="宋体" w:hAnsi="宋体" w:cs="Times New Roman"/>
          <w:sz w:val="28"/>
          <w:szCs w:val="28"/>
          <w:highlight w:val="none"/>
        </w:rPr>
        <w:t>专家组根据评价工作程序及评价目标进行任务分解，成立评价小组，进行任务分工，确定实施时间；</w:t>
      </w:r>
    </w:p>
    <w:p>
      <w:pPr>
        <w:widowControl/>
        <w:spacing w:line="480" w:lineRule="auto"/>
        <w:ind w:firstLine="560" w:firstLineChars="200"/>
        <w:rPr>
          <w:rFonts w:hint="eastAsia" w:ascii="宋体" w:hAnsi="宋体" w:cs="Times New Roman"/>
          <w:sz w:val="28"/>
          <w:szCs w:val="28"/>
          <w:highlight w:val="none"/>
          <w:lang w:eastAsia="zh-CN"/>
        </w:rPr>
      </w:pPr>
      <w:r>
        <w:rPr>
          <w:rFonts w:hint="eastAsia" w:ascii="宋体" w:hAnsi="宋体" w:cs="Times New Roman"/>
          <w:sz w:val="28"/>
          <w:szCs w:val="28"/>
          <w:highlight w:val="none"/>
          <w:lang w:val="en-US" w:eastAsia="zh-CN"/>
        </w:rPr>
        <w:t>2、</w:t>
      </w:r>
      <w:r>
        <w:rPr>
          <w:rFonts w:hint="eastAsia" w:ascii="宋体" w:hAnsi="宋体" w:cs="Times New Roman"/>
          <w:sz w:val="28"/>
          <w:szCs w:val="28"/>
          <w:highlight w:val="none"/>
        </w:rPr>
        <w:t>拟定实施方案</w:t>
      </w:r>
      <w:r>
        <w:rPr>
          <w:rFonts w:hint="eastAsia" w:ascii="宋体" w:hAnsi="宋体" w:cs="Times New Roman"/>
          <w:sz w:val="28"/>
          <w:szCs w:val="28"/>
          <w:highlight w:val="none"/>
          <w:lang w:eastAsia="zh-CN"/>
        </w:rPr>
        <w:t>；</w:t>
      </w:r>
    </w:p>
    <w:p>
      <w:pPr>
        <w:widowControl/>
        <w:spacing w:line="48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lang w:eastAsia="zh-CN"/>
        </w:rPr>
        <w:t>①</w:t>
      </w:r>
      <w:r>
        <w:rPr>
          <w:rFonts w:hint="eastAsia" w:ascii="宋体" w:hAnsi="宋体" w:cs="Times New Roman"/>
          <w:sz w:val="28"/>
          <w:szCs w:val="28"/>
          <w:highlight w:val="none"/>
        </w:rPr>
        <w:t>自我评价：</w:t>
      </w:r>
      <w:r>
        <w:rPr>
          <w:rFonts w:hint="eastAsia" w:ascii="宋体" w:hAnsi="宋体" w:cs="Times New Roman"/>
          <w:sz w:val="28"/>
          <w:szCs w:val="28"/>
          <w:highlight w:val="none"/>
          <w:lang w:eastAsia="zh-CN"/>
        </w:rPr>
        <w:t>根据</w:t>
      </w:r>
      <w:r>
        <w:rPr>
          <w:rFonts w:hint="eastAsia" w:ascii="宋体" w:hAnsi="宋体" w:cs="Times New Roman"/>
          <w:sz w:val="28"/>
          <w:szCs w:val="28"/>
          <w:highlight w:val="none"/>
        </w:rPr>
        <w:t>绩效评价相关制度规定</w:t>
      </w:r>
      <w:r>
        <w:rPr>
          <w:rFonts w:hint="eastAsia" w:ascii="宋体" w:hAnsi="宋体" w:cs="Times New Roman"/>
          <w:sz w:val="28"/>
          <w:szCs w:val="28"/>
          <w:highlight w:val="none"/>
          <w:lang w:eastAsia="zh-CN"/>
        </w:rPr>
        <w:t>和</w:t>
      </w:r>
      <w:r>
        <w:rPr>
          <w:rFonts w:hint="eastAsia" w:ascii="宋体" w:hAnsi="宋体" w:cs="Times New Roman"/>
          <w:sz w:val="28"/>
          <w:szCs w:val="28"/>
          <w:highlight w:val="none"/>
        </w:rPr>
        <w:t>绩效评价通知，各</w:t>
      </w:r>
      <w:r>
        <w:rPr>
          <w:rFonts w:hint="eastAsia" w:ascii="宋体" w:hAnsi="宋体" w:cs="Times New Roman"/>
          <w:sz w:val="28"/>
          <w:szCs w:val="28"/>
          <w:highlight w:val="none"/>
          <w:lang w:eastAsia="zh-CN"/>
        </w:rPr>
        <w:t>单位</w:t>
      </w:r>
      <w:r>
        <w:rPr>
          <w:rFonts w:hint="eastAsia" w:ascii="宋体" w:hAnsi="宋体" w:cs="Times New Roman"/>
          <w:sz w:val="28"/>
          <w:szCs w:val="28"/>
          <w:highlight w:val="none"/>
        </w:rPr>
        <w:t>进行</w:t>
      </w:r>
      <w:r>
        <w:rPr>
          <w:rFonts w:hint="eastAsia" w:ascii="宋体" w:hAnsi="宋体" w:cs="Times New Roman"/>
          <w:sz w:val="28"/>
          <w:szCs w:val="28"/>
          <w:highlight w:val="none"/>
          <w:lang w:eastAsia="zh-CN"/>
        </w:rPr>
        <w:t>巾帼扶贫车间</w:t>
      </w:r>
      <w:r>
        <w:rPr>
          <w:rFonts w:hint="eastAsia" w:ascii="宋体" w:hAnsi="宋体" w:cs="Times New Roman"/>
          <w:sz w:val="28"/>
          <w:szCs w:val="28"/>
          <w:highlight w:val="none"/>
        </w:rPr>
        <w:t>资金绩效自评，搜集、整理基础数据资料，撰写绩效评价自评报告；</w:t>
      </w:r>
    </w:p>
    <w:p>
      <w:pPr>
        <w:widowControl/>
        <w:spacing w:line="480" w:lineRule="auto"/>
        <w:ind w:firstLine="560" w:firstLineChars="200"/>
        <w:rPr>
          <w:rFonts w:hint="eastAsia" w:ascii="宋体" w:hAnsi="宋体"/>
          <w:b/>
          <w:sz w:val="28"/>
          <w:szCs w:val="28"/>
          <w:lang w:eastAsia="zh-CN"/>
        </w:rPr>
      </w:pPr>
      <w:r>
        <w:rPr>
          <w:rFonts w:hint="eastAsia" w:ascii="宋体" w:hAnsi="宋体" w:cs="Times New Roman"/>
          <w:sz w:val="28"/>
          <w:szCs w:val="28"/>
          <w:highlight w:val="none"/>
          <w:lang w:eastAsia="zh-CN"/>
        </w:rPr>
        <w:t>②</w:t>
      </w:r>
      <w:r>
        <w:rPr>
          <w:rFonts w:hint="eastAsia" w:ascii="宋体" w:hAnsi="宋体" w:cs="Times New Roman"/>
          <w:sz w:val="28"/>
          <w:szCs w:val="28"/>
          <w:highlight w:val="none"/>
        </w:rPr>
        <w:t>书面评审：评价小组根据省</w:t>
      </w:r>
      <w:r>
        <w:rPr>
          <w:rFonts w:hint="eastAsia" w:ascii="宋体" w:hAnsi="宋体" w:cs="Times New Roman"/>
          <w:sz w:val="28"/>
          <w:szCs w:val="28"/>
          <w:highlight w:val="none"/>
          <w:lang w:eastAsia="zh-CN"/>
        </w:rPr>
        <w:t>妇联提供选取的</w:t>
      </w:r>
      <w:r>
        <w:rPr>
          <w:rFonts w:hint="eastAsia" w:ascii="宋体" w:hAnsi="宋体" w:cs="Times New Roman"/>
          <w:sz w:val="28"/>
          <w:szCs w:val="28"/>
          <w:highlight w:val="none"/>
          <w:lang w:val="en-US" w:eastAsia="zh-CN"/>
        </w:rPr>
        <w:t>名单进行了评价，并审阅了上报的自评报告，</w:t>
      </w:r>
      <w:r>
        <w:rPr>
          <w:rFonts w:hint="eastAsia" w:ascii="宋体" w:hAnsi="宋体" w:cs="Times New Roman"/>
          <w:sz w:val="28"/>
          <w:szCs w:val="28"/>
          <w:highlight w:val="none"/>
        </w:rPr>
        <w:t>对材料进行审核、分析与判断。</w:t>
      </w:r>
    </w:p>
    <w:p>
      <w:pPr>
        <w:widowControl/>
        <w:numPr>
          <w:ilvl w:val="0"/>
          <w:numId w:val="10"/>
        </w:numPr>
        <w:spacing w:line="480" w:lineRule="auto"/>
        <w:ind w:firstLine="562" w:firstLineChars="200"/>
        <w:outlineLvl w:val="1"/>
        <w:rPr>
          <w:rFonts w:hint="eastAsia" w:ascii="宋体" w:hAnsi="宋体"/>
          <w:b/>
          <w:bCs w:val="0"/>
          <w:sz w:val="28"/>
          <w:szCs w:val="28"/>
          <w:highlight w:val="none"/>
          <w:lang w:eastAsia="zh-CN"/>
        </w:rPr>
      </w:pPr>
      <w:bookmarkStart w:id="95" w:name="_Toc18772"/>
      <w:r>
        <w:rPr>
          <w:rFonts w:hint="eastAsia" w:ascii="宋体" w:hAnsi="宋体"/>
          <w:b/>
          <w:bCs w:val="0"/>
          <w:sz w:val="28"/>
          <w:szCs w:val="28"/>
          <w:highlight w:val="none"/>
          <w:lang w:eastAsia="zh-CN"/>
        </w:rPr>
        <w:t>本次绩效评价的局限性</w:t>
      </w:r>
      <w:bookmarkEnd w:id="95"/>
    </w:p>
    <w:p>
      <w:pPr>
        <w:widowControl/>
        <w:spacing w:line="480" w:lineRule="auto"/>
        <w:ind w:firstLine="560" w:firstLineChars="200"/>
        <w:rPr>
          <w:rFonts w:hint="eastAsia" w:ascii="宋体" w:hAnsi="宋体" w:cs="Times New Roman"/>
          <w:sz w:val="28"/>
          <w:szCs w:val="28"/>
          <w:highlight w:val="none"/>
          <w:lang w:eastAsia="zh-CN"/>
        </w:rPr>
      </w:pPr>
      <w:r>
        <w:rPr>
          <w:rFonts w:hint="eastAsia" w:ascii="宋体" w:hAnsi="宋体" w:cs="Times New Roman"/>
          <w:sz w:val="28"/>
          <w:szCs w:val="28"/>
          <w:highlight w:val="none"/>
          <w:lang w:val="en-US" w:eastAsia="zh-CN"/>
        </w:rPr>
        <w:t xml:space="preserve">1、因项目资金使用单位涉及省妇联及23个深度贫困县，绩效评价工作仅对部分样本县开展评价、分析数据、现场核实，这对全面反映项目情况具有一定偏差。 </w:t>
      </w:r>
    </w:p>
    <w:p>
      <w:pPr>
        <w:widowControl/>
        <w:spacing w:line="480" w:lineRule="auto"/>
        <w:ind w:firstLine="560" w:firstLineChars="200"/>
        <w:rPr>
          <w:rFonts w:hint="eastAsia" w:ascii="宋体" w:hAnsi="宋体" w:cs="Times New Roman"/>
          <w:sz w:val="28"/>
          <w:szCs w:val="28"/>
          <w:highlight w:val="none"/>
          <w:lang w:val="en-US" w:eastAsia="zh-CN"/>
        </w:rPr>
      </w:pPr>
      <w:r>
        <w:rPr>
          <w:rFonts w:hint="eastAsia" w:ascii="宋体" w:hAnsi="宋体" w:cs="Times New Roman"/>
          <w:sz w:val="28"/>
          <w:szCs w:val="28"/>
          <w:highlight w:val="none"/>
          <w:lang w:val="en-US" w:eastAsia="zh-CN"/>
        </w:rPr>
        <w:t xml:space="preserve">2、该项目绩效评价指标设定时，一些效果指标难以量化，如社会效益指标、生态效益指标、可持续影响指标，这对全面反映项目绩效可能存在一定的局限性。 </w:t>
      </w:r>
    </w:p>
    <w:p>
      <w:pPr>
        <w:widowControl/>
        <w:spacing w:line="480" w:lineRule="auto"/>
        <w:ind w:firstLine="560" w:firstLineChars="200"/>
        <w:rPr>
          <w:rFonts w:hint="eastAsia" w:ascii="宋体" w:hAnsi="宋体"/>
          <w:b/>
          <w:sz w:val="28"/>
          <w:szCs w:val="28"/>
          <w:lang w:eastAsia="zh-CN"/>
        </w:rPr>
      </w:pPr>
      <w:r>
        <w:rPr>
          <w:rFonts w:hint="eastAsia" w:ascii="宋体" w:hAnsi="宋体" w:cs="Times New Roman"/>
          <w:sz w:val="28"/>
          <w:szCs w:val="28"/>
          <w:highlight w:val="none"/>
          <w:lang w:val="en-US" w:eastAsia="zh-CN"/>
        </w:rPr>
        <w:t>3、满意度调查针对服务对象进行调查。参与问卷调查的人员是我们随机抽取的，调查对象和样本量有一定局限性，满意度情况不具有完全代表性。</w:t>
      </w:r>
    </w:p>
    <w:p>
      <w:pPr>
        <w:keepNext w:val="0"/>
        <w:keepLines w:val="0"/>
        <w:pageBreakBefore w:val="0"/>
        <w:widowControl/>
        <w:kinsoku/>
        <w:wordWrap/>
        <w:overflowPunct/>
        <w:topLinePunct w:val="0"/>
        <w:autoSpaceDE/>
        <w:autoSpaceDN/>
        <w:bidi w:val="0"/>
        <w:adjustRightInd/>
        <w:snapToGrid/>
        <w:spacing w:line="480" w:lineRule="auto"/>
        <w:ind w:firstLine="0" w:firstLineChars="0"/>
        <w:textAlignment w:val="auto"/>
        <w:outlineLvl w:val="0"/>
        <w:rPr>
          <w:rFonts w:hint="eastAsia" w:ascii="宋体" w:hAnsi="宋体" w:eastAsia="宋体"/>
          <w:b/>
          <w:sz w:val="28"/>
          <w:szCs w:val="28"/>
          <w:lang w:eastAsia="zh-CN"/>
        </w:rPr>
      </w:pPr>
      <w:bookmarkStart w:id="96" w:name="_Toc31103"/>
      <w:r>
        <w:rPr>
          <w:rFonts w:hint="eastAsia" w:ascii="宋体" w:hAnsi="宋体"/>
          <w:b/>
          <w:sz w:val="28"/>
          <w:szCs w:val="28"/>
        </w:rPr>
        <w:t>三、</w:t>
      </w:r>
      <w:r>
        <w:rPr>
          <w:rFonts w:hint="eastAsia" w:ascii="宋体" w:hAnsi="宋体"/>
          <w:b/>
          <w:sz w:val="28"/>
          <w:szCs w:val="28"/>
          <w:lang w:eastAsia="zh-CN"/>
        </w:rPr>
        <w:t>绩效分析及评价结论</w:t>
      </w:r>
      <w:bookmarkEnd w:id="96"/>
    </w:p>
    <w:p>
      <w:pPr>
        <w:widowControl/>
        <w:spacing w:line="480" w:lineRule="auto"/>
        <w:ind w:firstLine="562" w:firstLineChars="200"/>
        <w:outlineLvl w:val="1"/>
        <w:rPr>
          <w:rFonts w:hint="eastAsia" w:ascii="宋体" w:hAnsi="宋体"/>
          <w:b/>
          <w:sz w:val="28"/>
          <w:szCs w:val="28"/>
          <w:lang w:eastAsia="zh-CN"/>
        </w:rPr>
      </w:pPr>
      <w:bookmarkStart w:id="97" w:name="_Toc7960"/>
      <w:r>
        <w:rPr>
          <w:rFonts w:hint="eastAsia" w:ascii="宋体" w:hAnsi="宋体"/>
          <w:b/>
          <w:sz w:val="28"/>
          <w:szCs w:val="28"/>
        </w:rPr>
        <w:t>（一）绩效</w:t>
      </w:r>
      <w:r>
        <w:rPr>
          <w:rFonts w:hint="eastAsia" w:ascii="宋体" w:hAnsi="宋体"/>
          <w:b/>
          <w:sz w:val="28"/>
          <w:szCs w:val="28"/>
          <w:lang w:eastAsia="zh-CN"/>
        </w:rPr>
        <w:t>分析</w:t>
      </w:r>
      <w:bookmarkEnd w:id="97"/>
    </w:p>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outlineLvl w:val="2"/>
        <w:rPr>
          <w:rFonts w:hint="eastAsia" w:ascii="宋体" w:hAnsi="宋体"/>
          <w:b/>
          <w:color w:val="auto"/>
          <w:sz w:val="28"/>
          <w:szCs w:val="28"/>
          <w:lang w:val="en-US" w:eastAsia="zh-CN"/>
        </w:rPr>
      </w:pPr>
      <w:bookmarkStart w:id="98" w:name="_Toc16949"/>
      <w:r>
        <w:rPr>
          <w:rFonts w:hint="eastAsia" w:ascii="宋体" w:hAnsi="宋体"/>
          <w:b/>
          <w:color w:val="auto"/>
          <w:sz w:val="28"/>
          <w:szCs w:val="28"/>
          <w:lang w:val="en-US" w:eastAsia="zh-CN"/>
        </w:rPr>
        <w:t>1、投入</w:t>
      </w:r>
      <w:bookmarkEnd w:id="98"/>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《甘肃省财政厅关于下达2019年“巾帼扶贫车间”专项资金的通知》（甘财行[2019]21号）下达财政专项扶贫资金1000万元。</w:t>
      </w:r>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全省资金拨付情况如图所示：</w:t>
      </w:r>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default" w:ascii="宋体" w:hAnsi="宋体"/>
          <w:b w:val="0"/>
          <w:bCs/>
          <w:color w:val="C00000"/>
          <w:sz w:val="28"/>
          <w:szCs w:val="28"/>
          <w:lang w:val="en-US" w:eastAsia="zh-CN"/>
        </w:rPr>
      </w:pPr>
      <w:r>
        <w:rPr>
          <w:rFonts w:hint="default" w:ascii="宋体" w:hAnsi="宋体"/>
          <w:b w:val="0"/>
          <w:bCs/>
          <w:color w:val="C00000"/>
          <w:sz w:val="28"/>
          <w:szCs w:val="28"/>
          <w:lang w:val="en-US" w:eastAsia="zh-CN"/>
        </w:rPr>
        <w:drawing>
          <wp:inline distT="0" distB="0" distL="114300" distR="114300">
            <wp:extent cx="5080000" cy="3191510"/>
            <wp:effectExtent l="4445" t="4445" r="20955" b="234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numPr>
          <w:ilvl w:val="0"/>
          <w:numId w:val="11"/>
        </w:numPr>
        <w:kinsoku/>
        <w:wordWrap/>
        <w:overflowPunct/>
        <w:topLinePunct w:val="0"/>
        <w:autoSpaceDE/>
        <w:autoSpaceDN/>
        <w:bidi w:val="0"/>
        <w:adjustRightInd/>
        <w:snapToGrid/>
        <w:spacing w:line="480" w:lineRule="auto"/>
        <w:ind w:firstLine="562" w:firstLineChars="200"/>
        <w:textAlignment w:val="auto"/>
        <w:outlineLvl w:val="2"/>
        <w:rPr>
          <w:rFonts w:hint="eastAsia" w:ascii="宋体" w:hAnsi="宋体"/>
          <w:b/>
          <w:color w:val="auto"/>
          <w:sz w:val="28"/>
          <w:szCs w:val="28"/>
          <w:lang w:val="en-US" w:eastAsia="zh-CN"/>
        </w:rPr>
      </w:pPr>
      <w:bookmarkStart w:id="99" w:name="_Toc14997"/>
      <w:r>
        <w:rPr>
          <w:rFonts w:hint="eastAsia" w:ascii="宋体" w:hAnsi="宋体"/>
          <w:b/>
          <w:color w:val="auto"/>
          <w:sz w:val="28"/>
          <w:szCs w:val="28"/>
          <w:lang w:val="en-US" w:eastAsia="zh-CN"/>
        </w:rPr>
        <w:t>过程</w:t>
      </w:r>
      <w:bookmarkEnd w:id="99"/>
    </w:p>
    <w:p>
      <w:pPr>
        <w:numPr>
          <w:ilvl w:val="0"/>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第一阶段——准备阶段，召开相关工作会议，签订培训协议，落实培训任务，制定并上报培训实施方案、拟定新培训菜单；调整劳动力培训师资队伍，准备教材技术资料等。</w:t>
      </w:r>
    </w:p>
    <w:p>
      <w:pPr>
        <w:numPr>
          <w:ilvl w:val="0"/>
          <w:numId w:val="0"/>
        </w:numPr>
        <w:jc w:val="both"/>
        <w:rPr>
          <w:rFonts w:hint="eastAsia"/>
          <w:sz w:val="28"/>
          <w:szCs w:val="28"/>
          <w:highlight w:val="none"/>
          <w:lang w:val="en-US" w:eastAsia="zh-CN"/>
        </w:rPr>
      </w:pPr>
      <w:r>
        <w:rPr>
          <w:rFonts w:hint="eastAsia"/>
          <w:sz w:val="28"/>
          <w:szCs w:val="28"/>
          <w:highlight w:val="none"/>
          <w:lang w:val="en-US" w:eastAsia="zh-CN"/>
        </w:rPr>
        <w:t xml:space="preserve">     第二阶段——实施阶段，围绕妇女创业水平提高，开展创业技能培训，以新技术、新知识、新模式开展，同时进行培训监督检查、综合管理、组织现场交流。</w:t>
      </w:r>
    </w:p>
    <w:p>
      <w:pPr>
        <w:numPr>
          <w:ilvl w:val="0"/>
          <w:numId w:val="0"/>
        </w:numPr>
        <w:jc w:val="both"/>
        <w:rPr>
          <w:rFonts w:hint="eastAsia" w:ascii="宋体" w:hAnsi="宋体"/>
          <w:b/>
          <w:sz w:val="28"/>
          <w:szCs w:val="28"/>
          <w:lang w:val="en-US" w:eastAsia="zh-CN"/>
        </w:rPr>
      </w:pPr>
      <w:r>
        <w:rPr>
          <w:rFonts w:hint="eastAsia"/>
          <w:sz w:val="28"/>
          <w:szCs w:val="28"/>
          <w:highlight w:val="none"/>
          <w:lang w:val="en-US" w:eastAsia="zh-CN"/>
        </w:rPr>
        <w:t xml:space="preserve">     第三阶段——总结阶段，按照相关培训管理办法进行项目总结、根据考核指标开展绩效评价，在自查的基础上，形成验收总结报告并上报县妇联。</w:t>
      </w:r>
    </w:p>
    <w:p>
      <w:pPr>
        <w:keepNext w:val="0"/>
        <w:keepLines w:val="0"/>
        <w:pageBreakBefore w:val="0"/>
        <w:widowControl/>
        <w:numPr>
          <w:ilvl w:val="0"/>
          <w:numId w:val="11"/>
        </w:numPr>
        <w:kinsoku/>
        <w:wordWrap/>
        <w:overflowPunct/>
        <w:topLinePunct w:val="0"/>
        <w:autoSpaceDE/>
        <w:autoSpaceDN/>
        <w:bidi w:val="0"/>
        <w:adjustRightInd/>
        <w:snapToGrid/>
        <w:spacing w:line="480" w:lineRule="auto"/>
        <w:ind w:left="0" w:leftChars="0" w:firstLine="562" w:firstLineChars="200"/>
        <w:textAlignment w:val="auto"/>
        <w:outlineLvl w:val="2"/>
        <w:rPr>
          <w:rFonts w:hint="eastAsia" w:ascii="宋体" w:hAnsi="宋体"/>
          <w:b/>
          <w:color w:val="auto"/>
          <w:sz w:val="28"/>
          <w:szCs w:val="28"/>
          <w:lang w:val="en-US" w:eastAsia="zh-CN"/>
        </w:rPr>
      </w:pPr>
      <w:bookmarkStart w:id="100" w:name="_Toc5122"/>
      <w:r>
        <w:rPr>
          <w:rFonts w:hint="eastAsia" w:ascii="宋体" w:hAnsi="宋体"/>
          <w:b/>
          <w:color w:val="auto"/>
          <w:sz w:val="28"/>
          <w:szCs w:val="28"/>
          <w:lang w:val="en-US" w:eastAsia="zh-CN"/>
        </w:rPr>
        <w:t>产出</w:t>
      </w:r>
      <w:bookmarkEnd w:id="100"/>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C00000"/>
          <w:sz w:val="28"/>
          <w:szCs w:val="28"/>
          <w:lang w:val="en-US" w:eastAsia="zh-CN"/>
        </w:rPr>
      </w:pPr>
      <w:r>
        <w:rPr>
          <w:rFonts w:hint="eastAsia" w:ascii="宋体" w:hAnsi="宋体"/>
          <w:b w:val="0"/>
          <w:bCs/>
          <w:color w:val="auto"/>
          <w:sz w:val="28"/>
          <w:szCs w:val="28"/>
          <w:lang w:val="en-US" w:eastAsia="zh-CN"/>
        </w:rPr>
        <w:t>2019年度省妇联开展巾帼扶贫车间技能培训工作,全省40个深度贫困乡镇所在的23个深度贫困县，每个县建成2个“巾帼扶贫车间”；举办“巾帼扶贫车间”骨干培训班22期，培训车间负责人、妇女组织骨干1300人；培树优秀“巾帼扶贫车间”71个，对接“巾帼扶贫车间”产品订单。“巾帼扶贫车间”建成成为了部分贫困妇女实现稳定就业、重要载体，有力的促进建档立卡贫困妇女就地就近就业，为农村照顾老人、子女的贫困妇女打开了致富门路，帮助她们脱贫增收，增强了广大妇女自立自强、靠辛勤劳动创造美好生活的信心和志气，既增强了妇女的获得感，又提升了妇女脱贫内生动力。</w:t>
      </w:r>
    </w:p>
    <w:p>
      <w:pPr>
        <w:keepNext w:val="0"/>
        <w:keepLines w:val="0"/>
        <w:pageBreakBefore w:val="0"/>
        <w:widowControl/>
        <w:numPr>
          <w:ilvl w:val="0"/>
          <w:numId w:val="11"/>
        </w:numPr>
        <w:kinsoku/>
        <w:wordWrap/>
        <w:overflowPunct/>
        <w:topLinePunct w:val="0"/>
        <w:autoSpaceDE/>
        <w:autoSpaceDN/>
        <w:bidi w:val="0"/>
        <w:adjustRightInd/>
        <w:snapToGrid/>
        <w:spacing w:line="480" w:lineRule="auto"/>
        <w:ind w:left="0" w:leftChars="0" w:firstLine="562" w:firstLineChars="200"/>
        <w:textAlignment w:val="auto"/>
        <w:outlineLvl w:val="2"/>
        <w:rPr>
          <w:rFonts w:hint="eastAsia" w:ascii="宋体" w:hAnsi="宋体"/>
          <w:b/>
          <w:color w:val="auto"/>
          <w:sz w:val="28"/>
          <w:szCs w:val="28"/>
          <w:lang w:val="en-US" w:eastAsia="zh-CN"/>
        </w:rPr>
      </w:pPr>
      <w:bookmarkStart w:id="101" w:name="_Toc18689"/>
      <w:r>
        <w:rPr>
          <w:rFonts w:hint="eastAsia" w:ascii="宋体" w:hAnsi="宋体"/>
          <w:b/>
          <w:color w:val="auto"/>
          <w:sz w:val="28"/>
          <w:szCs w:val="28"/>
          <w:lang w:val="en-US" w:eastAsia="zh-CN"/>
        </w:rPr>
        <w:t>效果</w:t>
      </w:r>
      <w:bookmarkEnd w:id="101"/>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Times New Roman"/>
          <w:b w:val="0"/>
          <w:bCs/>
          <w:color w:val="auto"/>
          <w:sz w:val="28"/>
          <w:szCs w:val="28"/>
          <w:lang w:val="en-US" w:eastAsia="zh-CN"/>
        </w:rPr>
      </w:pPr>
      <w:r>
        <w:rPr>
          <w:rFonts w:hint="eastAsia" w:ascii="宋体" w:hAnsi="宋体" w:eastAsia="宋体" w:cs="Times New Roman"/>
          <w:b w:val="0"/>
          <w:bCs/>
          <w:color w:val="auto"/>
          <w:sz w:val="28"/>
          <w:szCs w:val="28"/>
          <w:lang w:val="en-US" w:eastAsia="zh-CN"/>
        </w:rPr>
        <w:t>全省共建成各类23个深度贫困县建成的80个“巾帼扶贫车间”</w:t>
      </w:r>
      <w:r>
        <w:rPr>
          <w:rFonts w:hint="eastAsia" w:ascii="宋体" w:hAnsi="宋体" w:cs="Times New Roman"/>
          <w:b w:val="0"/>
          <w:bCs/>
          <w:color w:val="auto"/>
          <w:sz w:val="28"/>
          <w:szCs w:val="28"/>
          <w:lang w:val="en-US" w:eastAsia="zh-CN"/>
        </w:rPr>
        <w:t>，</w:t>
      </w:r>
      <w:r>
        <w:rPr>
          <w:rFonts w:hint="eastAsia" w:ascii="宋体" w:hAnsi="宋体" w:eastAsia="宋体" w:cs="Times New Roman"/>
          <w:b w:val="0"/>
          <w:bCs/>
          <w:color w:val="auto"/>
          <w:sz w:val="28"/>
          <w:szCs w:val="28"/>
          <w:lang w:val="en-US" w:eastAsia="zh-CN"/>
        </w:rPr>
        <w:t>车间就业妇女人均月收入1830元，较2018年底1500元，增加330元，增幅22%。举办全省“巾帼扶贫车间”骨干培训班22期，培训车间负责人、妇女组织骨干1300人。扶持奖励脱贫带动性强的优秀“巾帼扶贫车间”71个。广泛开展了以“凝聚巾帼力量.助力脱贫攻坚”为主题的“五个一”创建活动，将车间就业妇女紧紧团结在妇联周围，有力助推“巾帼车间扶贫”健康发展。助力乡村振兴贡献率提高，巾帼扶贫车间助力妇女脱贫贡献率增加</w:t>
      </w:r>
      <w:r>
        <w:rPr>
          <w:rFonts w:hint="eastAsia" w:ascii="宋体" w:hAnsi="宋体" w:cs="Times New Roman"/>
          <w:b w:val="0"/>
          <w:bCs/>
          <w:color w:val="auto"/>
          <w:sz w:val="28"/>
          <w:szCs w:val="28"/>
          <w:lang w:val="en-US" w:eastAsia="zh-CN"/>
        </w:rPr>
        <w:t>。</w:t>
      </w:r>
      <w:r>
        <w:rPr>
          <w:rFonts w:hint="eastAsia" w:ascii="宋体" w:hAnsi="宋体" w:eastAsia="宋体" w:cs="Times New Roman"/>
          <w:b w:val="0"/>
          <w:bCs/>
          <w:color w:val="auto"/>
          <w:sz w:val="28"/>
          <w:szCs w:val="28"/>
          <w:lang w:val="en-US" w:eastAsia="zh-CN"/>
        </w:rPr>
        <w:t xml:space="preserve">有效解决了贫困妇女照顾家庭、就业增收，农业生产三方矛盾，深受妇女青睐，车间就业妇女满意度98%以上。 </w:t>
      </w:r>
    </w:p>
    <w:p>
      <w:pPr>
        <w:keepNext w:val="0"/>
        <w:keepLines w:val="0"/>
        <w:pageBreakBefore w:val="0"/>
        <w:widowControl/>
        <w:numPr>
          <w:ilvl w:val="0"/>
          <w:numId w:val="11"/>
        </w:numPr>
        <w:kinsoku/>
        <w:wordWrap/>
        <w:overflowPunct/>
        <w:topLinePunct w:val="0"/>
        <w:autoSpaceDE/>
        <w:autoSpaceDN/>
        <w:bidi w:val="0"/>
        <w:adjustRightInd/>
        <w:snapToGrid/>
        <w:spacing w:line="480" w:lineRule="auto"/>
        <w:ind w:left="0" w:leftChars="0" w:firstLine="562" w:firstLineChars="200"/>
        <w:textAlignment w:val="auto"/>
        <w:outlineLvl w:val="2"/>
        <w:rPr>
          <w:rFonts w:hint="eastAsia" w:ascii="宋体" w:hAnsi="宋体"/>
          <w:b/>
          <w:color w:val="auto"/>
          <w:sz w:val="28"/>
          <w:szCs w:val="28"/>
          <w:lang w:val="en-US" w:eastAsia="zh-CN"/>
        </w:rPr>
      </w:pPr>
      <w:bookmarkStart w:id="102" w:name="_Toc2911"/>
      <w:r>
        <w:rPr>
          <w:rFonts w:hint="eastAsia" w:ascii="宋体" w:hAnsi="宋体"/>
          <w:b/>
          <w:color w:val="auto"/>
          <w:sz w:val="28"/>
          <w:szCs w:val="28"/>
          <w:lang w:val="en-US" w:eastAsia="zh-CN"/>
        </w:rPr>
        <w:t>绩效目标完成情况分析</w:t>
      </w:r>
      <w:bookmarkEnd w:id="102"/>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Times New Roman"/>
          <w:b w:val="0"/>
          <w:bCs/>
          <w:color w:val="auto"/>
          <w:sz w:val="28"/>
          <w:szCs w:val="28"/>
          <w:lang w:val="en-US" w:eastAsia="zh-CN"/>
        </w:rPr>
      </w:pPr>
      <w:r>
        <w:rPr>
          <w:rFonts w:hint="eastAsia" w:ascii="宋体" w:hAnsi="宋体" w:cs="Times New Roman"/>
          <w:b w:val="0"/>
          <w:bCs/>
          <w:color w:val="auto"/>
          <w:sz w:val="28"/>
          <w:szCs w:val="28"/>
          <w:lang w:val="en-US" w:eastAsia="zh-CN"/>
        </w:rPr>
        <w:t>2019</w:t>
      </w:r>
      <w:r>
        <w:rPr>
          <w:rFonts w:hint="eastAsia" w:ascii="宋体" w:hAnsi="宋体" w:eastAsia="宋体" w:cs="Times New Roman"/>
          <w:b w:val="0"/>
          <w:bCs/>
          <w:color w:val="auto"/>
          <w:sz w:val="28"/>
          <w:szCs w:val="28"/>
          <w:lang w:val="en-US" w:eastAsia="zh-CN"/>
        </w:rPr>
        <w:t>年</w:t>
      </w:r>
      <w:r>
        <w:rPr>
          <w:rFonts w:hint="eastAsia" w:ascii="宋体" w:hAnsi="宋体" w:cs="Times New Roman"/>
          <w:b w:val="0"/>
          <w:bCs/>
          <w:color w:val="auto"/>
          <w:sz w:val="28"/>
          <w:szCs w:val="28"/>
          <w:lang w:val="en-US" w:eastAsia="zh-CN"/>
        </w:rPr>
        <w:t>度</w:t>
      </w:r>
      <w:r>
        <w:rPr>
          <w:rFonts w:hint="eastAsia" w:ascii="宋体" w:hAnsi="宋体" w:eastAsia="宋体" w:cs="Times New Roman"/>
          <w:b w:val="0"/>
          <w:bCs/>
          <w:color w:val="auto"/>
          <w:sz w:val="28"/>
          <w:szCs w:val="28"/>
          <w:lang w:val="en-US" w:eastAsia="zh-CN"/>
        </w:rPr>
        <w:t>省妇联下拨培训资金1000万元，其中</w:t>
      </w:r>
      <w:r>
        <w:rPr>
          <w:rFonts w:hint="eastAsia" w:ascii="宋体" w:hAnsi="宋体" w:cs="Times New Roman"/>
          <w:b w:val="0"/>
          <w:bCs/>
          <w:color w:val="auto"/>
          <w:sz w:val="28"/>
          <w:szCs w:val="28"/>
          <w:lang w:val="en-US" w:eastAsia="zh-CN"/>
        </w:rPr>
        <w:t>巾帼扶贫车间省妇联</w:t>
      </w:r>
      <w:r>
        <w:rPr>
          <w:rFonts w:hint="eastAsia" w:ascii="宋体" w:hAnsi="宋体" w:eastAsia="宋体" w:cs="Times New Roman"/>
          <w:b w:val="0"/>
          <w:bCs/>
          <w:color w:val="auto"/>
          <w:sz w:val="28"/>
          <w:szCs w:val="28"/>
          <w:lang w:val="en-US" w:eastAsia="zh-CN"/>
        </w:rPr>
        <w:t>经费</w:t>
      </w:r>
      <w:r>
        <w:rPr>
          <w:rFonts w:hint="eastAsia" w:ascii="宋体" w:hAnsi="宋体" w:cs="Times New Roman"/>
          <w:b w:val="0"/>
          <w:bCs/>
          <w:color w:val="auto"/>
          <w:sz w:val="28"/>
          <w:szCs w:val="28"/>
          <w:lang w:val="en-US" w:eastAsia="zh-CN"/>
        </w:rPr>
        <w:t>600</w:t>
      </w:r>
      <w:r>
        <w:rPr>
          <w:rFonts w:hint="eastAsia" w:ascii="宋体" w:hAnsi="宋体" w:eastAsia="宋体" w:cs="Times New Roman"/>
          <w:b w:val="0"/>
          <w:bCs/>
          <w:color w:val="auto"/>
          <w:sz w:val="28"/>
          <w:szCs w:val="28"/>
          <w:lang w:val="en-US" w:eastAsia="zh-CN"/>
        </w:rPr>
        <w:t>万元，</w:t>
      </w:r>
      <w:r>
        <w:rPr>
          <w:rFonts w:hint="eastAsia" w:ascii="宋体" w:hAnsi="宋体" w:cs="Times New Roman"/>
          <w:b w:val="0"/>
          <w:bCs/>
          <w:color w:val="auto"/>
          <w:sz w:val="28"/>
          <w:szCs w:val="28"/>
          <w:lang w:val="en-US" w:eastAsia="zh-CN"/>
        </w:rPr>
        <w:t>县级巾帼扶贫车间400</w:t>
      </w:r>
      <w:r>
        <w:rPr>
          <w:rFonts w:hint="eastAsia" w:ascii="宋体" w:hAnsi="宋体" w:eastAsia="宋体" w:cs="Times New Roman"/>
          <w:b w:val="0"/>
          <w:bCs/>
          <w:color w:val="auto"/>
          <w:sz w:val="28"/>
          <w:szCs w:val="28"/>
          <w:lang w:val="en-US" w:eastAsia="zh-CN"/>
        </w:rPr>
        <w:t>万元，专项资金按时</w:t>
      </w:r>
      <w:r>
        <w:rPr>
          <w:rFonts w:hint="eastAsia" w:ascii="宋体" w:hAnsi="宋体" w:cs="Times New Roman"/>
          <w:b w:val="0"/>
          <w:bCs/>
          <w:color w:val="auto"/>
          <w:sz w:val="28"/>
          <w:szCs w:val="28"/>
          <w:lang w:val="en-US" w:eastAsia="zh-CN"/>
        </w:rPr>
        <w:t>足</w:t>
      </w:r>
      <w:r>
        <w:rPr>
          <w:rFonts w:hint="eastAsia" w:ascii="宋体" w:hAnsi="宋体" w:eastAsia="宋体" w:cs="Times New Roman"/>
          <w:b w:val="0"/>
          <w:bCs/>
          <w:color w:val="auto"/>
          <w:sz w:val="28"/>
          <w:szCs w:val="28"/>
          <w:lang w:val="en-US" w:eastAsia="zh-CN"/>
        </w:rPr>
        <w:t>额拨付</w:t>
      </w:r>
      <w:r>
        <w:rPr>
          <w:rFonts w:hint="eastAsia" w:ascii="宋体" w:hAnsi="宋体" w:cs="Times New Roman"/>
          <w:b w:val="0"/>
          <w:bCs/>
          <w:color w:val="auto"/>
          <w:sz w:val="28"/>
          <w:szCs w:val="28"/>
          <w:lang w:val="en-US" w:eastAsia="zh-CN"/>
        </w:rPr>
        <w:t>，积石山县结余资金0.4448万元，通渭县结余资金3.3667万元，古浪县结余资金1.3210万元，共计结余资金5.1325万元，</w:t>
      </w:r>
      <w:r>
        <w:rPr>
          <w:rFonts w:hint="eastAsia" w:ascii="宋体" w:hAnsi="宋体" w:eastAsia="宋体" w:cs="Times New Roman"/>
          <w:b w:val="0"/>
          <w:bCs/>
          <w:color w:val="auto"/>
          <w:sz w:val="28"/>
          <w:szCs w:val="28"/>
          <w:lang w:val="en-US" w:eastAsia="zh-CN"/>
        </w:rPr>
        <w:t>资</w:t>
      </w:r>
      <w:r>
        <w:rPr>
          <w:rFonts w:hint="eastAsia" w:ascii="宋体" w:hAnsi="宋体"/>
          <w:b w:val="0"/>
          <w:bCs/>
          <w:color w:val="auto"/>
          <w:sz w:val="28"/>
          <w:szCs w:val="28"/>
          <w:lang w:val="en-US" w:eastAsia="zh-CN"/>
        </w:rPr>
        <w:t>金使用率为99.49%。</w:t>
      </w:r>
    </w:p>
    <w:p>
      <w:pPr>
        <w:widowControl/>
        <w:spacing w:line="480" w:lineRule="auto"/>
        <w:ind w:firstLine="562" w:firstLineChars="200"/>
        <w:outlineLvl w:val="1"/>
        <w:rPr>
          <w:rFonts w:hint="eastAsia" w:ascii="宋体" w:hAnsi="宋体"/>
          <w:b/>
          <w:bCs/>
          <w:color w:val="auto"/>
          <w:sz w:val="28"/>
          <w:szCs w:val="28"/>
          <w:lang w:eastAsia="zh-CN"/>
        </w:rPr>
      </w:pPr>
      <w:bookmarkStart w:id="103" w:name="_Toc28840"/>
      <w:r>
        <w:rPr>
          <w:rFonts w:hint="eastAsia" w:ascii="宋体" w:hAnsi="宋体"/>
          <w:b/>
          <w:bCs/>
          <w:color w:val="auto"/>
          <w:sz w:val="28"/>
          <w:szCs w:val="28"/>
        </w:rPr>
        <w:t>（二）</w:t>
      </w:r>
      <w:r>
        <w:rPr>
          <w:rFonts w:hint="eastAsia" w:ascii="宋体" w:hAnsi="宋体"/>
          <w:b/>
          <w:bCs/>
          <w:color w:val="auto"/>
          <w:sz w:val="28"/>
          <w:szCs w:val="28"/>
          <w:lang w:eastAsia="zh-CN"/>
        </w:rPr>
        <w:t>评价结论</w:t>
      </w:r>
      <w:bookmarkEnd w:id="103"/>
    </w:p>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rPr>
          <w:rFonts w:hint="eastAsia" w:ascii="宋体" w:hAnsi="宋体"/>
          <w:b/>
          <w:bCs/>
          <w:color w:val="auto"/>
          <w:sz w:val="28"/>
          <w:szCs w:val="28"/>
          <w:lang w:val="en-US" w:eastAsia="zh-CN"/>
        </w:rPr>
      </w:pPr>
      <w:bookmarkStart w:id="104" w:name="_Toc14356_WPSOffice_Level3"/>
      <w:r>
        <w:rPr>
          <w:rFonts w:hint="eastAsia" w:ascii="宋体" w:hAnsi="宋体"/>
          <w:b/>
          <w:bCs/>
          <w:color w:val="auto"/>
          <w:sz w:val="28"/>
          <w:szCs w:val="28"/>
          <w:lang w:val="en-US" w:eastAsia="zh-CN"/>
        </w:rPr>
        <w:t>1、评分结果</w:t>
      </w:r>
      <w:bookmarkEnd w:id="104"/>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（1）白银市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96.00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（2）陇南市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95.00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（3）天水市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95.00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（4）甘南州</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94.00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（5）庆阳市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94.00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（6）平凉市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93.00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（7）临夏州</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91.00</w:t>
            </w:r>
          </w:p>
        </w:tc>
      </w:tr>
    </w:tbl>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（8）武威市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90.00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（9）定西市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92.00</w:t>
            </w:r>
          </w:p>
        </w:tc>
      </w:tr>
    </w:tbl>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rPr>
          <w:rFonts w:hint="default" w:ascii="宋体" w:hAnsi="宋体"/>
          <w:b/>
          <w:bCs/>
          <w:color w:val="auto"/>
          <w:sz w:val="28"/>
          <w:szCs w:val="28"/>
          <w:lang w:val="en-US" w:eastAsia="zh-CN"/>
        </w:rPr>
      </w:pPr>
      <w:bookmarkStart w:id="105" w:name="_Toc28908_WPSOffice_Level3"/>
      <w:r>
        <w:rPr>
          <w:rFonts w:hint="eastAsia" w:ascii="宋体" w:hAnsi="宋体"/>
          <w:b/>
          <w:bCs/>
          <w:color w:val="auto"/>
          <w:sz w:val="28"/>
          <w:szCs w:val="28"/>
          <w:lang w:val="en-US" w:eastAsia="zh-CN"/>
        </w:rPr>
        <w:t>2、主要结论</w:t>
      </w:r>
      <w:bookmarkEnd w:id="105"/>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各地区目前的评价与排行都是依据各个地区既有存量进行的绝对评价，重视各个地区投入或产出的绝对产量，它不关注地区发展的条件和因素。2019年度巾帼扶贫车间绩效评价是依据产出与投入之比对各个地区进行的相对评价。对九个市州绩效评价的研究表明，通过以上对地区各项指标分别进行实质性分析、计算后综合评价得分情况如下：</w:t>
      </w:r>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default" w:ascii="宋体" w:hAnsi="宋体"/>
          <w:color w:val="auto"/>
          <w:sz w:val="28"/>
          <w:szCs w:val="28"/>
          <w:shd w:val="clear" w:color="auto" w:fill="auto"/>
          <w:lang w:val="en-US" w:eastAsia="zh-CN"/>
        </w:rPr>
      </w:pPr>
      <w:r>
        <w:rPr>
          <w:rFonts w:hint="eastAsia" w:ascii="宋体" w:hAnsi="宋体"/>
          <w:color w:val="auto"/>
          <w:sz w:val="28"/>
          <w:szCs w:val="28"/>
          <w:shd w:val="clear" w:color="auto" w:fill="auto"/>
          <w:lang w:val="en-US" w:eastAsia="zh-CN"/>
        </w:rPr>
        <w:t>白银市96分、陇南市95分、天水市95分、甘南州94分、庆阳市94分、平凉市93分、临夏州91分、武威市90分、定西市89分。</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textAlignment w:val="auto"/>
        <w:outlineLvl w:val="0"/>
        <w:rPr>
          <w:rFonts w:hint="eastAsia" w:ascii="宋体" w:hAnsi="宋体"/>
          <w:b/>
          <w:sz w:val="28"/>
          <w:szCs w:val="28"/>
          <w:lang w:eastAsia="zh-CN"/>
        </w:rPr>
      </w:pPr>
      <w:bookmarkStart w:id="106" w:name="_Toc2640"/>
      <w:r>
        <w:rPr>
          <w:rFonts w:hint="eastAsia" w:ascii="宋体" w:hAnsi="宋体"/>
          <w:b/>
          <w:sz w:val="28"/>
          <w:szCs w:val="28"/>
          <w:lang w:eastAsia="zh-CN"/>
        </w:rPr>
        <w:t>四、主要经验及做法、存在的问题和建议</w:t>
      </w:r>
      <w:bookmarkEnd w:id="106"/>
    </w:p>
    <w:p>
      <w:pPr>
        <w:widowControl/>
        <w:numPr>
          <w:ilvl w:val="0"/>
          <w:numId w:val="0"/>
        </w:numPr>
        <w:spacing w:line="480" w:lineRule="auto"/>
        <w:ind w:leftChars="200"/>
        <w:outlineLvl w:val="1"/>
        <w:rPr>
          <w:rFonts w:hint="eastAsia"/>
          <w:color w:val="auto"/>
          <w:sz w:val="28"/>
          <w:szCs w:val="28"/>
          <w:lang w:val="en-US" w:eastAsia="zh-CN"/>
        </w:rPr>
      </w:pPr>
      <w:bookmarkStart w:id="107" w:name="_Toc13502"/>
      <w:r>
        <w:rPr>
          <w:rFonts w:hint="eastAsia" w:ascii="宋体" w:hAnsi="宋体"/>
          <w:b/>
          <w:sz w:val="28"/>
          <w:szCs w:val="28"/>
          <w:lang w:eastAsia="zh-CN"/>
        </w:rPr>
        <w:t>（一）主要经验及做法</w:t>
      </w:r>
      <w:bookmarkEnd w:id="107"/>
    </w:p>
    <w:p>
      <w:pPr>
        <w:widowControl/>
        <w:numPr>
          <w:ilvl w:val="0"/>
          <w:numId w:val="0"/>
        </w:numPr>
        <w:spacing w:line="480" w:lineRule="auto"/>
        <w:ind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结合实际，统筹谋划。自全省扶贫车间现场会召开以来，县妇联结合我县实际，统筹谋划，广泛宣传。（1）走访群众、调研论证，发现只有把扶贫车间建在村头，岗位设在门口，才能满足贫困妇女的现实需求。（2）走访企业、公司、合作社、个体户，通过实地查看、座谈交流、发现企业用工难的问题。县妇联充分发挥“联”字作用，探索出一条“政府主导、企业带动、妇联推动、妇女参与”的新思路，既为无致富能力、走不出大山的贫困妇女提供了工作岗位，又为企业缺少人手、厂房解决了难题，达到企业盈利，妇女增收的双赢效果。</w:t>
      </w:r>
    </w:p>
    <w:p>
      <w:pPr>
        <w:widowControl/>
        <w:numPr>
          <w:ilvl w:val="0"/>
          <w:numId w:val="0"/>
        </w:numPr>
        <w:spacing w:line="480" w:lineRule="auto"/>
        <w:ind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主动作为，抓车间落地。为促进车间快速发展，尽早为贫困妇女提供工作岗位，我们主动作为。一是配合政府积极引进企业在当地建办巾帼扶贫车间。二是与当地妇女劳动密集企业积极对接，支持他们创办巾帼扶贫车间，吸纳更多的贫困妇女就业。三是发动巧手女能人、产业带头人、合作社、基地负责人领办创办巾帼扶贫车间。</w:t>
      </w:r>
    </w:p>
    <w:p>
      <w:pPr>
        <w:widowControl/>
        <w:numPr>
          <w:ilvl w:val="0"/>
          <w:numId w:val="0"/>
        </w:numPr>
        <w:spacing w:line="480" w:lineRule="auto"/>
        <w:ind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积极扶持，抓协调服务。为了让企业留得住，群众得实惠，脱贫加速度，县妇联积极协调县、镇政府在巾帼扶贫车间建设的厂地、资金、设施、人员、税收等各方面给予扶持，将闲置校舍、村部等进行改造后免费提供给企业使用，协调金融部门为符合条件的企业(个人)申请妇女创业担保贷款，简化办理程序，及时发放到位。</w:t>
      </w:r>
    </w:p>
    <w:p>
      <w:pPr>
        <w:widowControl/>
        <w:numPr>
          <w:ilvl w:val="0"/>
          <w:numId w:val="0"/>
        </w:numPr>
        <w:spacing w:line="480" w:lineRule="auto"/>
        <w:ind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扶志扶智，抓技能培训。坚持实际实用实效的原则，围绕“志、智”双扶要求，开展了三个层面的培训。利用县、乡微信公众平台、电视台、乡、村宣传栏等平台，广泛宣传巾帼扶贫车间就业项目、招工要求。根据扶贫车间就业门槛低，技术要求低、无成本、无风险、自由灵活的特点，提高贫困妇女对中相扶贫车间的认知度，引导为她们摒弃大钱挣不了，小我不愿挣的观念，树立自我发展自我脱贫的信心。</w:t>
      </w:r>
    </w:p>
    <w:p>
      <w:pPr>
        <w:widowControl/>
        <w:numPr>
          <w:ilvl w:val="0"/>
          <w:numId w:val="0"/>
        </w:numPr>
        <w:spacing w:line="480" w:lineRule="auto"/>
        <w:ind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5、关心关爱，无后顾之忧。在帮助妇女走进车间当上产业工人同时，县妇联认真指导镇、村两级妇联组织同步跟进“妇女之家”工作，在“扶贫车间”建立“妇女之家”，成立妇妇联，组织妇女经常开展学习教育活动，及时传达党的方针政策，组织开展“陇原妇女面对面，母亲讲堂乡村行活动”，进一步增强广大妇女的政治素养，引导女企业家、致富带头人深入车间，为有困难的妇女提供一对一 帮扶。如立足部分贫困妇女到镇“陪读”的实际，主动跟进服务，协调车间采取错时工作制，让“陪 读”家长边照顾孩子边打工挣钱。</w:t>
      </w:r>
    </w:p>
    <w:p>
      <w:pPr>
        <w:widowControl/>
        <w:numPr>
          <w:ilvl w:val="0"/>
          <w:numId w:val="0"/>
        </w:numPr>
        <w:spacing w:line="480" w:lineRule="auto"/>
        <w:ind w:firstLine="562" w:firstLineChars="200"/>
        <w:outlineLvl w:val="1"/>
        <w:rPr>
          <w:rFonts w:hint="eastAsia" w:ascii="宋体" w:hAnsi="宋体"/>
          <w:b/>
          <w:sz w:val="28"/>
          <w:szCs w:val="28"/>
          <w:lang w:eastAsia="zh-CN"/>
        </w:rPr>
      </w:pPr>
      <w:bookmarkStart w:id="108" w:name="_Toc4985"/>
      <w:r>
        <w:rPr>
          <w:rFonts w:hint="eastAsia"/>
          <w:b/>
          <w:bCs/>
          <w:color w:val="auto"/>
          <w:sz w:val="28"/>
          <w:szCs w:val="28"/>
          <w:shd w:val="clear" w:color="auto" w:fill="auto"/>
          <w:lang w:val="en-US" w:eastAsia="zh-CN"/>
        </w:rPr>
        <w:t>（二）</w:t>
      </w:r>
      <w:r>
        <w:rPr>
          <w:rFonts w:hint="eastAsia" w:ascii="宋体" w:hAnsi="宋体"/>
          <w:b/>
          <w:bCs/>
          <w:sz w:val="28"/>
          <w:szCs w:val="28"/>
          <w:lang w:eastAsia="zh-CN"/>
        </w:rPr>
        <w:t>存在</w:t>
      </w:r>
      <w:r>
        <w:rPr>
          <w:rFonts w:hint="eastAsia" w:ascii="宋体" w:hAnsi="宋体"/>
          <w:b/>
          <w:sz w:val="28"/>
          <w:szCs w:val="28"/>
          <w:lang w:eastAsia="zh-CN"/>
        </w:rPr>
        <w:t>的问题</w:t>
      </w:r>
      <w:bookmarkEnd w:id="108"/>
    </w:p>
    <w:p>
      <w:pPr>
        <w:keepNext w:val="0"/>
        <w:keepLines w:val="0"/>
        <w:pageBreakBefore w:val="0"/>
        <w:widowControl w:val="0"/>
        <w:numPr>
          <w:ilvl w:val="0"/>
          <w:numId w:val="12"/>
        </w:numPr>
        <w:kinsoku/>
        <w:wordWrap/>
        <w:overflowPunct/>
        <w:topLinePunct w:val="0"/>
        <w:autoSpaceDE/>
        <w:autoSpaceDN/>
        <w:bidi w:val="0"/>
        <w:adjustRightInd/>
        <w:snapToGrid/>
        <w:ind w:firstLine="560" w:firstLineChars="200"/>
        <w:jc w:val="both"/>
        <w:textAlignment w:val="auto"/>
        <w:rPr>
          <w:rFonts w:hint="eastAsia" w:eastAsia="宋体"/>
          <w:sz w:val="28"/>
          <w:szCs w:val="28"/>
          <w:lang w:val="en-US" w:eastAsia="zh-CN"/>
        </w:rPr>
      </w:pPr>
      <w:r>
        <w:rPr>
          <w:rFonts w:hint="eastAsia"/>
          <w:sz w:val="28"/>
          <w:szCs w:val="28"/>
          <w:lang w:val="en-US" w:eastAsia="zh-CN"/>
        </w:rPr>
        <w:t>专项资金名额有限</w:t>
      </w:r>
      <w:r>
        <w:rPr>
          <w:rFonts w:hint="eastAsia" w:eastAsia="宋体"/>
          <w:sz w:val="28"/>
          <w:szCs w:val="28"/>
          <w:lang w:val="en-US" w:eastAsia="zh-CN"/>
        </w:rPr>
        <w:t>。政府及行业部门资金、政策支持力度有限。政府、行业部门及省市妇联要加大资金、政策支持力度，确保吸引更多的企业投身到建办扶贫车间的行列中来。</w:t>
      </w:r>
    </w:p>
    <w:p>
      <w:pPr>
        <w:keepNext w:val="0"/>
        <w:keepLines w:val="0"/>
        <w:pageBreakBefore w:val="0"/>
        <w:widowControl w:val="0"/>
        <w:numPr>
          <w:ilvl w:val="0"/>
          <w:numId w:val="12"/>
        </w:numPr>
        <w:kinsoku/>
        <w:wordWrap/>
        <w:overflowPunct/>
        <w:topLinePunct w:val="0"/>
        <w:autoSpaceDE/>
        <w:autoSpaceDN/>
        <w:bidi w:val="0"/>
        <w:adjustRightInd/>
        <w:snapToGrid/>
        <w:ind w:firstLine="560" w:firstLineChars="200"/>
        <w:jc w:val="both"/>
        <w:textAlignment w:val="auto"/>
        <w:rPr>
          <w:rFonts w:hint="eastAsia" w:eastAsia="宋体"/>
          <w:sz w:val="28"/>
          <w:szCs w:val="28"/>
          <w:lang w:val="en-US" w:eastAsia="zh-CN"/>
        </w:rPr>
      </w:pPr>
      <w:r>
        <w:rPr>
          <w:rFonts w:hint="eastAsia" w:eastAsia="宋体"/>
          <w:sz w:val="28"/>
          <w:szCs w:val="28"/>
          <w:lang w:val="en-US" w:eastAsia="zh-CN"/>
        </w:rPr>
        <w:t>缺乏</w:t>
      </w:r>
      <w:r>
        <w:rPr>
          <w:rFonts w:hint="eastAsia"/>
          <w:sz w:val="28"/>
          <w:szCs w:val="28"/>
          <w:lang w:val="en-US" w:eastAsia="zh-CN"/>
        </w:rPr>
        <w:t>产品</w:t>
      </w:r>
      <w:r>
        <w:rPr>
          <w:rFonts w:hint="eastAsia" w:eastAsia="宋体"/>
          <w:sz w:val="28"/>
          <w:szCs w:val="28"/>
          <w:lang w:val="en-US" w:eastAsia="zh-CN"/>
        </w:rPr>
        <w:t>订单。各级妇联虽然通过多种途径争取到了一定数量的订单，但由于数量有限且不稳定，致使</w:t>
      </w:r>
      <w:r>
        <w:rPr>
          <w:rFonts w:hint="eastAsia"/>
          <w:sz w:val="28"/>
          <w:szCs w:val="28"/>
          <w:lang w:val="en-US" w:eastAsia="zh-CN"/>
        </w:rPr>
        <w:t>车间</w:t>
      </w:r>
      <w:r>
        <w:rPr>
          <w:rFonts w:hint="eastAsia" w:eastAsia="宋体"/>
          <w:sz w:val="28"/>
          <w:szCs w:val="28"/>
          <w:lang w:val="en-US" w:eastAsia="zh-CN"/>
        </w:rPr>
        <w:t>有了产品销售不出去，无法带动更多的贫困妇女脱贫致富。</w:t>
      </w:r>
    </w:p>
    <w:p>
      <w:pPr>
        <w:keepNext w:val="0"/>
        <w:keepLines w:val="0"/>
        <w:pageBreakBefore w:val="0"/>
        <w:widowControl w:val="0"/>
        <w:numPr>
          <w:ilvl w:val="0"/>
          <w:numId w:val="12"/>
        </w:numPr>
        <w:kinsoku/>
        <w:wordWrap/>
        <w:overflowPunct/>
        <w:topLinePunct w:val="0"/>
        <w:autoSpaceDE/>
        <w:autoSpaceDN/>
        <w:bidi w:val="0"/>
        <w:adjustRightInd/>
        <w:snapToGrid/>
        <w:ind w:firstLine="560" w:firstLineChars="200"/>
        <w:jc w:val="both"/>
        <w:textAlignment w:val="auto"/>
        <w:rPr>
          <w:rFonts w:hint="default" w:eastAsia="宋体"/>
          <w:sz w:val="28"/>
          <w:szCs w:val="28"/>
          <w:lang w:val="en-US" w:eastAsia="zh-CN"/>
        </w:rPr>
      </w:pPr>
      <w:r>
        <w:rPr>
          <w:rFonts w:hint="eastAsia"/>
          <w:sz w:val="28"/>
          <w:szCs w:val="28"/>
          <w:lang w:val="en-US" w:eastAsia="zh-CN"/>
        </w:rPr>
        <w:t>当地能够引进的企业、项目资源匮乏。虽然前期政府部门、妇联大力鼓励引导适合妇女就业，劳动密集型企业到深度贫困乡村建办车间，但由于交通、自然条件等因素影响，有意愿的企业少之又少。</w:t>
      </w:r>
    </w:p>
    <w:p>
      <w:pPr>
        <w:keepNext w:val="0"/>
        <w:keepLines w:val="0"/>
        <w:pageBreakBefore w:val="0"/>
        <w:widowControl w:val="0"/>
        <w:numPr>
          <w:ilvl w:val="0"/>
          <w:numId w:val="12"/>
        </w:numPr>
        <w:kinsoku/>
        <w:wordWrap/>
        <w:overflowPunct/>
        <w:topLinePunct w:val="0"/>
        <w:autoSpaceDE/>
        <w:autoSpaceDN/>
        <w:bidi w:val="0"/>
        <w:adjustRightInd/>
        <w:snapToGrid/>
        <w:ind w:firstLine="560" w:firstLineChars="200"/>
        <w:jc w:val="both"/>
        <w:textAlignment w:val="auto"/>
        <w:rPr>
          <w:rFonts w:hint="default" w:eastAsia="宋体"/>
          <w:sz w:val="28"/>
          <w:szCs w:val="28"/>
          <w:lang w:val="en-US" w:eastAsia="zh-CN"/>
        </w:rPr>
      </w:pPr>
      <w:r>
        <w:rPr>
          <w:rFonts w:hint="eastAsia"/>
          <w:sz w:val="28"/>
          <w:szCs w:val="28"/>
          <w:lang w:val="en-US" w:eastAsia="zh-CN"/>
        </w:rPr>
        <w:t>部分农村妇女文化素质偏低、年龄偏大、生产能力偏弱，思想保守，对接受新事物认识不足，畏难情绪严重。</w:t>
      </w:r>
      <w:r>
        <w:rPr>
          <w:rFonts w:hint="default" w:eastAsia="宋体"/>
          <w:sz w:val="28"/>
          <w:szCs w:val="28"/>
          <w:lang w:val="en-US" w:eastAsia="zh-CN"/>
        </w:rPr>
        <w:t>深度贫困乡镇地广人稀、人员居住分散，技能培训、上下班都不方便，车间依然存在用工难</w:t>
      </w:r>
      <w:r>
        <w:rPr>
          <w:rFonts w:hint="eastAsia"/>
          <w:sz w:val="28"/>
          <w:szCs w:val="28"/>
          <w:lang w:val="en-US" w:eastAsia="zh-CN"/>
        </w:rPr>
        <w:t>的</w:t>
      </w:r>
      <w:r>
        <w:rPr>
          <w:rFonts w:hint="default" w:eastAsia="宋体"/>
          <w:sz w:val="28"/>
          <w:szCs w:val="28"/>
          <w:lang w:val="en-US" w:eastAsia="zh-CN"/>
        </w:rPr>
        <w:t>问题。</w:t>
      </w:r>
    </w:p>
    <w:p>
      <w:pPr>
        <w:widowControl/>
        <w:numPr>
          <w:ilvl w:val="0"/>
          <w:numId w:val="0"/>
        </w:numPr>
        <w:spacing w:line="480" w:lineRule="auto"/>
        <w:ind w:leftChars="200"/>
        <w:outlineLvl w:val="1"/>
        <w:rPr>
          <w:rFonts w:hint="eastAsia" w:ascii="宋体" w:hAnsi="宋体"/>
          <w:b/>
          <w:sz w:val="28"/>
          <w:szCs w:val="28"/>
          <w:lang w:eastAsia="zh-CN"/>
        </w:rPr>
      </w:pPr>
      <w:bookmarkStart w:id="109" w:name="_Toc20644"/>
      <w:r>
        <w:rPr>
          <w:rFonts w:hint="eastAsia" w:ascii="宋体" w:hAnsi="宋体"/>
          <w:b/>
          <w:sz w:val="28"/>
          <w:szCs w:val="28"/>
          <w:lang w:eastAsia="zh-CN"/>
        </w:rPr>
        <w:t>（三）建议</w:t>
      </w:r>
      <w:bookmarkEnd w:id="109"/>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1、对“巾帼扶贫车间”奖补资金全覆盖，进一步激发企业旳积极性，带动更多贫困妇女受益。</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2、要加大宣传、教育、引导妇女积极到扶贫车间务工，实现</w:t>
      </w:r>
      <w:r>
        <w:rPr>
          <w:rFonts w:hint="eastAsia" w:cs="Times New Roman"/>
          <w:kern w:val="2"/>
          <w:sz w:val="28"/>
          <w:szCs w:val="28"/>
          <w:lang w:val="en-US" w:eastAsia="zh-CN" w:bidi="ar-SA"/>
        </w:rPr>
        <w:t>就</w:t>
      </w:r>
      <w:r>
        <w:rPr>
          <w:rFonts w:hint="eastAsia" w:ascii="Times New Roman" w:hAnsi="Times New Roman" w:eastAsia="宋体" w:cs="Times New Roman"/>
          <w:kern w:val="2"/>
          <w:sz w:val="28"/>
          <w:szCs w:val="28"/>
          <w:lang w:val="en-US" w:eastAsia="zh-CN" w:bidi="ar-SA"/>
        </w:rPr>
        <w:t>近就地就业，务工顾家两不误</w:t>
      </w:r>
      <w:r>
        <w:rPr>
          <w:rFonts w:hint="eastAsia" w:cs="Times New Roman"/>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在扶贫车间建立妇女组织，开展“巾帼脱贫大讲堂”走进车间活动，给车间务工妇女讲政策、讲感恩、讲励志、讲纪律，增强车间的吸引力，妇女的归属感，引导她们遵守制度，遵守纪律，从普通的农民转变为产业工人。</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4、打造县乡村三级网络新媒体矩阵，用活用好微信公众平台，管好用好覆盖广泛的妇联工作群，加强舆情监测分析，发挥网评网宣作用，实现网上妇联与妇女工作、机关 与基层、妇联与社会各界的“融合”，形成“互联网+妇联”新常态。</w:t>
      </w:r>
    </w:p>
    <w:p>
      <w:pPr>
        <w:widowControl/>
        <w:numPr>
          <w:ilvl w:val="0"/>
          <w:numId w:val="0"/>
        </w:numPr>
        <w:spacing w:line="480" w:lineRule="auto"/>
        <w:outlineLvl w:val="0"/>
        <w:rPr>
          <w:rFonts w:hint="eastAsia" w:ascii="宋体" w:hAnsi="宋体"/>
          <w:b/>
          <w:bCs/>
          <w:sz w:val="28"/>
          <w:szCs w:val="28"/>
          <w:lang w:eastAsia="zh-CN"/>
        </w:rPr>
      </w:pPr>
      <w:bookmarkStart w:id="110" w:name="_Toc29370"/>
      <w:r>
        <w:rPr>
          <w:rFonts w:hint="eastAsia" w:cs="Times New Roman"/>
          <w:b/>
          <w:bCs/>
          <w:kern w:val="2"/>
          <w:sz w:val="28"/>
          <w:szCs w:val="28"/>
          <w:lang w:val="en-US" w:eastAsia="zh-CN" w:bidi="ar-SA"/>
        </w:rPr>
        <w:t>五、</w:t>
      </w:r>
      <w:r>
        <w:rPr>
          <w:rFonts w:hint="eastAsia" w:ascii="宋体" w:hAnsi="宋体"/>
          <w:b/>
          <w:bCs/>
          <w:sz w:val="28"/>
          <w:szCs w:val="28"/>
          <w:lang w:eastAsia="zh-CN"/>
        </w:rPr>
        <w:t>其他需说明的问题</w:t>
      </w:r>
      <w:bookmarkEnd w:id="110"/>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eastAsia="宋体" w:cs="Times New Roman"/>
          <w:kern w:val="2"/>
          <w:sz w:val="28"/>
          <w:szCs w:val="28"/>
          <w:lang w:val="en-US" w:eastAsia="zh-CN" w:bidi="ar-SA"/>
        </w:rPr>
        <w:t>1、</w:t>
      </w:r>
      <w:r>
        <w:rPr>
          <w:rFonts w:hint="eastAsia" w:ascii="Times New Roman" w:hAnsi="Times New Roman" w:eastAsia="宋体" w:cs="Times New Roman"/>
          <w:kern w:val="2"/>
          <w:sz w:val="28"/>
          <w:szCs w:val="28"/>
          <w:lang w:val="en-US" w:eastAsia="zh-CN" w:bidi="ar-SA"/>
        </w:rPr>
        <w:t>本项目</w:t>
      </w:r>
      <w:r>
        <w:rPr>
          <w:rFonts w:hint="eastAsia" w:cs="Times New Roman"/>
          <w:kern w:val="2"/>
          <w:sz w:val="28"/>
          <w:szCs w:val="28"/>
          <w:lang w:val="en-US" w:eastAsia="zh-CN" w:bidi="ar-SA"/>
        </w:rPr>
        <w:t>2019</w:t>
      </w:r>
      <w:r>
        <w:rPr>
          <w:rFonts w:hint="eastAsia" w:ascii="Times New Roman" w:hAnsi="Times New Roman" w:eastAsia="宋体" w:cs="Times New Roman"/>
          <w:kern w:val="2"/>
          <w:sz w:val="28"/>
          <w:szCs w:val="28"/>
          <w:lang w:val="en-US" w:eastAsia="zh-CN" w:bidi="ar-SA"/>
        </w:rPr>
        <w:t>年</w:t>
      </w:r>
      <w:r>
        <w:rPr>
          <w:rFonts w:hint="eastAsia" w:cs="Times New Roman"/>
          <w:kern w:val="2"/>
          <w:sz w:val="28"/>
          <w:szCs w:val="28"/>
          <w:lang w:val="en-US" w:eastAsia="zh-CN" w:bidi="ar-SA"/>
        </w:rPr>
        <w:t>度巾帼扶贫车间</w:t>
      </w:r>
      <w:r>
        <w:rPr>
          <w:rFonts w:hint="eastAsia" w:ascii="Times New Roman" w:hAnsi="Times New Roman" w:eastAsia="宋体" w:cs="Times New Roman"/>
          <w:kern w:val="2"/>
          <w:sz w:val="28"/>
          <w:szCs w:val="28"/>
          <w:lang w:val="en-US" w:eastAsia="zh-CN" w:bidi="ar-SA"/>
        </w:rPr>
        <w:t>绩效评价是在独立、客观、公正的原则下做出的，本单位参加评价工作的全体人员与被评价各方之间无任何特殊利害关系，评价人员在评价过程中恪守职业道德和规范，并进行了充分的努力，及时完整的报送绩效评价报告，截止绩效评价报告日</w:t>
      </w:r>
      <w:r>
        <w:rPr>
          <w:rFonts w:hint="eastAsia" w:ascii="Times New Roman" w:hAnsi="Times New Roman" w:eastAsia="宋体" w:cs="Times New Roman"/>
          <w:kern w:val="2"/>
          <w:sz w:val="28"/>
          <w:szCs w:val="28"/>
          <w:highlight w:val="none"/>
          <w:lang w:val="en-US" w:eastAsia="zh-CN" w:bidi="ar-SA"/>
        </w:rPr>
        <w:t>201</w:t>
      </w:r>
      <w:r>
        <w:rPr>
          <w:rFonts w:hint="eastAsia" w:eastAsia="宋体" w:cs="Times New Roman"/>
          <w:kern w:val="2"/>
          <w:sz w:val="28"/>
          <w:szCs w:val="28"/>
          <w:highlight w:val="none"/>
          <w:lang w:val="en-US" w:eastAsia="zh-CN" w:bidi="ar-SA"/>
        </w:rPr>
        <w:t>9</w:t>
      </w:r>
      <w:r>
        <w:rPr>
          <w:rFonts w:hint="eastAsia" w:ascii="Times New Roman" w:hAnsi="Times New Roman" w:eastAsia="宋体" w:cs="Times New Roman"/>
          <w:kern w:val="2"/>
          <w:sz w:val="28"/>
          <w:szCs w:val="28"/>
          <w:highlight w:val="none"/>
          <w:lang w:val="en-US" w:eastAsia="zh-CN" w:bidi="ar-SA"/>
        </w:rPr>
        <w:t>年</w:t>
      </w:r>
      <w:r>
        <w:rPr>
          <w:rFonts w:hint="eastAsia" w:eastAsia="宋体" w:cs="Times New Roman"/>
          <w:kern w:val="2"/>
          <w:sz w:val="28"/>
          <w:szCs w:val="28"/>
          <w:highlight w:val="none"/>
          <w:lang w:val="en-US" w:eastAsia="zh-CN" w:bidi="ar-SA"/>
        </w:rPr>
        <w:t>0</w:t>
      </w:r>
      <w:r>
        <w:rPr>
          <w:rFonts w:hint="eastAsia" w:cs="Times New Roman"/>
          <w:kern w:val="2"/>
          <w:sz w:val="28"/>
          <w:szCs w:val="28"/>
          <w:highlight w:val="none"/>
          <w:lang w:val="en-US" w:eastAsia="zh-CN" w:bidi="ar-SA"/>
        </w:rPr>
        <w:t>6</w:t>
      </w:r>
      <w:r>
        <w:rPr>
          <w:rFonts w:hint="eastAsia" w:ascii="Times New Roman" w:hAnsi="Times New Roman" w:eastAsia="宋体" w:cs="Times New Roman"/>
          <w:kern w:val="2"/>
          <w:sz w:val="28"/>
          <w:szCs w:val="28"/>
          <w:highlight w:val="none"/>
          <w:lang w:val="en-US" w:eastAsia="zh-CN" w:bidi="ar-SA"/>
        </w:rPr>
        <w:t>月</w:t>
      </w:r>
      <w:r>
        <w:rPr>
          <w:rFonts w:hint="eastAsia" w:cs="Times New Roman"/>
          <w:kern w:val="2"/>
          <w:sz w:val="28"/>
          <w:szCs w:val="28"/>
          <w:highlight w:val="none"/>
          <w:lang w:val="en-US" w:eastAsia="zh-CN" w:bidi="ar-SA"/>
        </w:rPr>
        <w:t>15</w:t>
      </w:r>
      <w:r>
        <w:rPr>
          <w:rFonts w:hint="eastAsia" w:ascii="Times New Roman" w:hAnsi="Times New Roman" w:eastAsia="宋体" w:cs="Times New Roman"/>
          <w:kern w:val="2"/>
          <w:sz w:val="28"/>
          <w:szCs w:val="28"/>
          <w:highlight w:val="none"/>
          <w:lang w:val="en-US" w:eastAsia="zh-CN" w:bidi="ar-SA"/>
        </w:rPr>
        <w:t>日</w:t>
      </w:r>
      <w:r>
        <w:rPr>
          <w:rFonts w:hint="eastAsia" w:ascii="Times New Roman" w:hAnsi="Times New Roman" w:eastAsia="宋体" w:cs="Times New Roman"/>
          <w:kern w:val="2"/>
          <w:sz w:val="28"/>
          <w:szCs w:val="28"/>
          <w:lang w:val="en-US" w:eastAsia="zh-CN" w:bidi="ar-SA"/>
        </w:rPr>
        <w:t>，评价结果与委托方无异议；</w:t>
      </w:r>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eastAsia="宋体" w:cs="Times New Roman"/>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t>委托方对所提供的委托评价资料的真实性、合法性和完整性承担责任</w:t>
      </w:r>
      <w:r>
        <w:rPr>
          <w:rFonts w:hint="eastAsia"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注册会计师的责任是对被评价对象进行评价并发表专业意见。本绩效评价报告是在所提供的真实、合法的资料基础上出具的，对因存在舞弊或报告使用不当造成的一切后果，本单位和注册会计师不承担责任；</w:t>
      </w:r>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eastAsia="宋体" w:cs="Times New Roman"/>
          <w:kern w:val="2"/>
          <w:sz w:val="28"/>
          <w:szCs w:val="28"/>
          <w:lang w:val="en-US" w:eastAsia="zh-CN" w:bidi="ar-SA"/>
        </w:rPr>
        <w:t>3、</w:t>
      </w:r>
      <w:r>
        <w:rPr>
          <w:rFonts w:hint="eastAsia" w:ascii="Times New Roman" w:hAnsi="Times New Roman" w:eastAsia="宋体" w:cs="Times New Roman"/>
          <w:kern w:val="2"/>
          <w:sz w:val="28"/>
          <w:szCs w:val="28"/>
          <w:lang w:val="en-US" w:eastAsia="zh-CN" w:bidi="ar-SA"/>
        </w:rPr>
        <w:t>本绩效评价报告仅供</w:t>
      </w:r>
      <w:r>
        <w:rPr>
          <w:rFonts w:hint="eastAsia" w:cs="Times New Roman"/>
          <w:kern w:val="2"/>
          <w:sz w:val="28"/>
          <w:szCs w:val="28"/>
          <w:lang w:val="en-US" w:eastAsia="zh-CN" w:bidi="ar-SA"/>
        </w:rPr>
        <w:t>委托方及主管部门</w:t>
      </w:r>
      <w:r>
        <w:rPr>
          <w:rFonts w:hint="eastAsia" w:ascii="Times New Roman" w:hAnsi="Times New Roman" w:eastAsia="宋体" w:cs="Times New Roman"/>
          <w:kern w:val="2"/>
          <w:sz w:val="28"/>
          <w:szCs w:val="28"/>
          <w:lang w:val="en-US" w:eastAsia="zh-CN" w:bidi="ar-SA"/>
        </w:rPr>
        <w:t>使用，任意复印无效。</w:t>
      </w:r>
    </w:p>
    <w:p>
      <w:pPr>
        <w:outlineLvl w:val="0"/>
        <w:rPr>
          <w:rFonts w:ascii="宋体" w:hAnsi="宋体"/>
          <w:b/>
          <w:bCs/>
          <w:sz w:val="28"/>
          <w:szCs w:val="28"/>
        </w:rPr>
      </w:pPr>
      <w:bookmarkStart w:id="111" w:name="_Toc737_WPSOffice_Level1"/>
      <w:bookmarkStart w:id="112" w:name="_Toc26247_WPSOffice_Level1"/>
      <w:bookmarkStart w:id="113" w:name="_Toc5030_WPSOffice_Level1"/>
      <w:bookmarkStart w:id="114" w:name="_Toc31915_WPSOffice_Level1"/>
      <w:bookmarkStart w:id="115" w:name="_Toc16578_WPSOffice_Level1"/>
      <w:bookmarkStart w:id="116" w:name="_Toc3748"/>
      <w:r>
        <w:rPr>
          <w:rFonts w:hint="eastAsia" w:ascii="宋体" w:hAnsi="宋体"/>
          <w:b/>
          <w:bCs/>
          <w:sz w:val="28"/>
          <w:szCs w:val="28"/>
        </w:rPr>
        <w:t>附件</w:t>
      </w:r>
      <w:bookmarkEnd w:id="111"/>
      <w:bookmarkEnd w:id="112"/>
      <w:bookmarkEnd w:id="113"/>
      <w:bookmarkEnd w:id="114"/>
      <w:bookmarkEnd w:id="115"/>
      <w:bookmarkEnd w:id="116"/>
    </w:p>
    <w:p>
      <w:pPr>
        <w:widowControl/>
        <w:spacing w:line="480" w:lineRule="auto"/>
        <w:ind w:firstLine="562"/>
        <w:outlineLvl w:val="0"/>
        <w:rPr>
          <w:rFonts w:hint="eastAsia" w:ascii="宋体" w:hAnsi="宋体" w:eastAsia="宋体" w:cs="宋体"/>
          <w:sz w:val="28"/>
          <w:szCs w:val="28"/>
          <w:lang w:eastAsia="zh-CN"/>
        </w:rPr>
      </w:pPr>
      <w:bookmarkStart w:id="117" w:name="_Toc7260_WPSOffice_Level1"/>
      <w:bookmarkStart w:id="118" w:name="_Toc20503_WPSOffice_Level1"/>
      <w:bookmarkStart w:id="119" w:name="_Toc7561_WPSOffice_Level1"/>
      <w:bookmarkStart w:id="120" w:name="_Toc14852_WPSOffice_Level1"/>
      <w:bookmarkStart w:id="121" w:name="_Toc18324"/>
      <w:r>
        <w:rPr>
          <w:rFonts w:hint="eastAsia" w:ascii="宋体" w:hAnsi="宋体"/>
          <w:sz w:val="28"/>
          <w:szCs w:val="28"/>
        </w:rPr>
        <w:t>附件  1.</w:t>
      </w:r>
      <w:r>
        <w:rPr>
          <w:rFonts w:hint="eastAsia" w:ascii="宋体" w:hAnsi="宋体"/>
          <w:sz w:val="28"/>
          <w:szCs w:val="28"/>
          <w:lang w:val="en-US" w:eastAsia="zh-CN"/>
        </w:rPr>
        <w:t xml:space="preserve"> </w:t>
      </w:r>
      <w:r>
        <w:rPr>
          <w:rFonts w:hint="eastAsia" w:ascii="宋体" w:hAnsi="宋体"/>
          <w:sz w:val="28"/>
          <w:szCs w:val="28"/>
          <w:lang w:eastAsia="zh-CN"/>
        </w:rPr>
        <w:t>绩效评价指标体系</w:t>
      </w:r>
      <w:bookmarkEnd w:id="117"/>
      <w:bookmarkEnd w:id="118"/>
      <w:bookmarkEnd w:id="119"/>
      <w:bookmarkEnd w:id="120"/>
      <w:bookmarkEnd w:id="121"/>
    </w:p>
    <w:p>
      <w:pPr>
        <w:tabs>
          <w:tab w:val="left" w:pos="8520"/>
        </w:tabs>
        <w:snapToGrid w:val="0"/>
        <w:spacing w:line="360" w:lineRule="auto"/>
        <w:outlineLvl w:val="0"/>
        <w:rPr>
          <w:rFonts w:hint="eastAsia" w:ascii="宋体" w:hAnsi="宋体"/>
          <w:sz w:val="28"/>
          <w:szCs w:val="28"/>
        </w:rPr>
      </w:pPr>
      <w:r>
        <w:rPr>
          <w:rFonts w:hint="eastAsia" w:ascii="宋体" w:hAnsi="宋体"/>
          <w:sz w:val="28"/>
          <w:szCs w:val="28"/>
          <w:lang w:val="en-US" w:eastAsia="zh-CN"/>
        </w:rPr>
        <w:t xml:space="preserve">          </w:t>
      </w:r>
      <w:bookmarkStart w:id="122" w:name="_Toc26095_WPSOffice_Level1"/>
      <w:bookmarkStart w:id="123" w:name="_Toc7395_WPSOffice_Level1"/>
      <w:bookmarkStart w:id="124" w:name="_Toc32040"/>
      <w:r>
        <w:rPr>
          <w:rFonts w:hint="eastAsia" w:ascii="宋体" w:hAnsi="宋体"/>
          <w:sz w:val="28"/>
          <w:szCs w:val="28"/>
          <w:lang w:val="en-US" w:eastAsia="zh-CN"/>
        </w:rPr>
        <w:t>2. 调查问卷</w:t>
      </w:r>
      <w:bookmarkEnd w:id="122"/>
      <w:bookmarkEnd w:id="123"/>
      <w:bookmarkEnd w:id="124"/>
    </w:p>
    <w:p>
      <w:pPr>
        <w:tabs>
          <w:tab w:val="left" w:pos="8520"/>
        </w:tabs>
        <w:snapToGrid w:val="0"/>
        <w:spacing w:line="360" w:lineRule="auto"/>
        <w:ind w:firstLine="280" w:firstLineChars="100"/>
        <w:rPr>
          <w:rFonts w:hint="eastAsia" w:ascii="宋体" w:hAnsi="宋体"/>
          <w:sz w:val="28"/>
          <w:szCs w:val="28"/>
        </w:rPr>
      </w:pPr>
    </w:p>
    <w:p>
      <w:pPr>
        <w:tabs>
          <w:tab w:val="left" w:pos="8520"/>
        </w:tabs>
        <w:snapToGrid w:val="0"/>
        <w:spacing w:line="360" w:lineRule="auto"/>
        <w:ind w:firstLine="280" w:firstLineChars="100"/>
        <w:rPr>
          <w:rFonts w:hint="eastAsia" w:ascii="宋体" w:hAnsi="宋体"/>
          <w:sz w:val="28"/>
          <w:szCs w:val="28"/>
        </w:rPr>
      </w:pPr>
    </w:p>
    <w:p>
      <w:pPr>
        <w:tabs>
          <w:tab w:val="left" w:pos="8520"/>
        </w:tabs>
        <w:snapToGrid w:val="0"/>
        <w:spacing w:line="360" w:lineRule="auto"/>
        <w:ind w:firstLine="280" w:firstLineChars="100"/>
        <w:rPr>
          <w:rFonts w:ascii="宋体" w:hAnsi="宋体"/>
          <w:sz w:val="28"/>
          <w:szCs w:val="28"/>
        </w:rPr>
      </w:pPr>
      <w:r>
        <w:rPr>
          <w:rFonts w:hint="eastAsia" w:ascii="宋体" w:hAnsi="宋体"/>
          <w:sz w:val="28"/>
          <w:szCs w:val="28"/>
        </w:rPr>
        <w:t>甘肃中强会计师事务有限公司              中国注册会计师：</w:t>
      </w:r>
    </w:p>
    <w:p>
      <w:pPr>
        <w:tabs>
          <w:tab w:val="left" w:pos="840"/>
          <w:tab w:val="left" w:pos="1260"/>
          <w:tab w:val="left" w:pos="7125"/>
        </w:tabs>
        <w:spacing w:line="600" w:lineRule="auto"/>
        <w:ind w:firstLine="560" w:firstLineChars="200"/>
        <w:rPr>
          <w:rFonts w:ascii="宋体" w:hAnsi="宋体"/>
          <w:sz w:val="28"/>
          <w:szCs w:val="28"/>
        </w:rPr>
      </w:pPr>
    </w:p>
    <w:p>
      <w:pPr>
        <w:tabs>
          <w:tab w:val="left" w:pos="840"/>
          <w:tab w:val="left" w:pos="1260"/>
          <w:tab w:val="left" w:pos="7125"/>
        </w:tabs>
        <w:spacing w:line="600" w:lineRule="auto"/>
        <w:ind w:firstLine="840" w:firstLineChars="300"/>
        <w:rPr>
          <w:rFonts w:hint="eastAsia" w:ascii="宋体" w:hAnsi="宋体"/>
          <w:sz w:val="28"/>
          <w:szCs w:val="28"/>
        </w:rPr>
      </w:pPr>
      <w:r>
        <w:rPr>
          <w:rFonts w:hint="eastAsia" w:ascii="宋体" w:hAnsi="宋体"/>
          <w:sz w:val="28"/>
          <w:szCs w:val="28"/>
        </w:rPr>
        <w:t xml:space="preserve">中国     *     甘肃                 中国注册会计师： </w:t>
      </w:r>
    </w:p>
    <w:p>
      <w:pPr>
        <w:tabs>
          <w:tab w:val="left" w:pos="840"/>
          <w:tab w:val="left" w:pos="1260"/>
          <w:tab w:val="left" w:pos="7125"/>
        </w:tabs>
        <w:wordWrap/>
        <w:spacing w:line="600" w:lineRule="auto"/>
        <w:jc w:val="left"/>
        <w:rPr>
          <w:rFonts w:hint="eastAsia" w:ascii="宋体" w:hAnsi="宋体"/>
          <w:sz w:val="28"/>
          <w:szCs w:val="28"/>
          <w:lang w:val="en-US" w:eastAsia="zh-CN"/>
        </w:rPr>
      </w:pPr>
      <w:r>
        <w:rPr>
          <w:rFonts w:hint="eastAsia" w:ascii="宋体" w:hAnsi="宋体"/>
          <w:sz w:val="28"/>
          <w:szCs w:val="28"/>
          <w:lang w:val="en-US" w:eastAsia="zh-CN"/>
        </w:rPr>
        <w:t xml:space="preserve">                                        </w:t>
      </w:r>
    </w:p>
    <w:p>
      <w:pPr>
        <w:tabs>
          <w:tab w:val="left" w:pos="840"/>
          <w:tab w:val="left" w:pos="1260"/>
          <w:tab w:val="left" w:pos="7125"/>
        </w:tabs>
        <w:wordWrap/>
        <w:spacing w:line="600" w:lineRule="auto"/>
        <w:jc w:val="left"/>
        <w:rPr>
          <w:rFonts w:hint="default" w:ascii="宋体" w:hAnsi="宋体"/>
          <w:sz w:val="28"/>
          <w:szCs w:val="28"/>
          <w:lang w:val="en-US"/>
        </w:rPr>
        <w:sectPr>
          <w:footerReference r:id="rId3" w:type="default"/>
          <w:pgSz w:w="12240" w:h="15840"/>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sz w:val="28"/>
          <w:szCs w:val="28"/>
          <w:lang w:val="en-US" w:eastAsia="zh-CN"/>
        </w:rPr>
        <w:t xml:space="preserve">                                         二〇一九年六月十五日         </w:t>
      </w:r>
    </w:p>
    <w:p>
      <w:pPr>
        <w:keepNext w:val="0"/>
        <w:keepLines w:val="0"/>
        <w:pageBreakBefore w:val="0"/>
        <w:widowControl w:val="0"/>
        <w:tabs>
          <w:tab w:val="left" w:pos="840"/>
          <w:tab w:val="left" w:pos="1260"/>
          <w:tab w:val="left" w:pos="7125"/>
        </w:tabs>
        <w:kinsoku/>
        <w:wordWrap/>
        <w:overflowPunct/>
        <w:topLinePunct w:val="0"/>
        <w:autoSpaceDE/>
        <w:autoSpaceDN/>
        <w:bidi w:val="0"/>
        <w:adjustRightInd/>
        <w:snapToGrid/>
        <w:spacing w:line="240" w:lineRule="auto"/>
        <w:jc w:val="left"/>
        <w:textAlignment w:val="auto"/>
        <w:rPr>
          <w:rFonts w:hint="default" w:eastAsia="宋体"/>
          <w:highlight w:val="yellow"/>
          <w:lang w:val="en-US" w:eastAsia="zh-CN"/>
        </w:rPr>
      </w:pPr>
    </w:p>
    <w:sectPr>
      <w:footerReference r:id="rId4" w:type="default"/>
      <w:pgSz w:w="12240" w:h="15840"/>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50"/>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DFDA6"/>
    <w:multiLevelType w:val="singleLevel"/>
    <w:tmpl w:val="82BDFDA6"/>
    <w:lvl w:ilvl="0" w:tentative="0">
      <w:start w:val="3"/>
      <w:numFmt w:val="decimal"/>
      <w:suff w:val="nothing"/>
      <w:lvlText w:val="%1、"/>
      <w:lvlJc w:val="left"/>
    </w:lvl>
  </w:abstractNum>
  <w:abstractNum w:abstractNumId="1">
    <w:nsid w:val="BB67369C"/>
    <w:multiLevelType w:val="singleLevel"/>
    <w:tmpl w:val="BB67369C"/>
    <w:lvl w:ilvl="0" w:tentative="0">
      <w:start w:val="1"/>
      <w:numFmt w:val="decimal"/>
      <w:suff w:val="nothing"/>
      <w:lvlText w:val="%1、"/>
      <w:lvlJc w:val="left"/>
    </w:lvl>
  </w:abstractNum>
  <w:abstractNum w:abstractNumId="2">
    <w:nsid w:val="E82586D2"/>
    <w:multiLevelType w:val="singleLevel"/>
    <w:tmpl w:val="E82586D2"/>
    <w:lvl w:ilvl="0" w:tentative="0">
      <w:start w:val="2"/>
      <w:numFmt w:val="chineseCounting"/>
      <w:suff w:val="nothing"/>
      <w:lvlText w:val="（%1）"/>
      <w:lvlJc w:val="left"/>
      <w:rPr>
        <w:rFonts w:hint="eastAsia"/>
      </w:rPr>
    </w:lvl>
  </w:abstractNum>
  <w:abstractNum w:abstractNumId="3">
    <w:nsid w:val="00000002"/>
    <w:multiLevelType w:val="singleLevel"/>
    <w:tmpl w:val="00000002"/>
    <w:lvl w:ilvl="0" w:tentative="0">
      <w:start w:val="2"/>
      <w:numFmt w:val="chineseCounting"/>
      <w:suff w:val="nothing"/>
      <w:lvlText w:val="%1、"/>
      <w:lvlJc w:val="left"/>
    </w:lvl>
  </w:abstractNum>
  <w:abstractNum w:abstractNumId="4">
    <w:nsid w:val="06DF2EBE"/>
    <w:multiLevelType w:val="singleLevel"/>
    <w:tmpl w:val="06DF2EBE"/>
    <w:lvl w:ilvl="0" w:tentative="0">
      <w:start w:val="6"/>
      <w:numFmt w:val="chineseCounting"/>
      <w:suff w:val="nothing"/>
      <w:lvlText w:val="（%1）"/>
      <w:lvlJc w:val="left"/>
      <w:rPr>
        <w:rFonts w:hint="eastAsia"/>
      </w:rPr>
    </w:lvl>
  </w:abstractNum>
  <w:abstractNum w:abstractNumId="5">
    <w:nsid w:val="13149B78"/>
    <w:multiLevelType w:val="singleLevel"/>
    <w:tmpl w:val="13149B78"/>
    <w:lvl w:ilvl="0" w:tentative="0">
      <w:start w:val="2"/>
      <w:numFmt w:val="decimal"/>
      <w:lvlText w:val="%1."/>
      <w:lvlJc w:val="left"/>
      <w:pPr>
        <w:tabs>
          <w:tab w:val="left" w:pos="312"/>
        </w:tabs>
      </w:pPr>
    </w:lvl>
  </w:abstractNum>
  <w:abstractNum w:abstractNumId="6">
    <w:nsid w:val="1451BE12"/>
    <w:multiLevelType w:val="singleLevel"/>
    <w:tmpl w:val="1451BE12"/>
    <w:lvl w:ilvl="0" w:tentative="0">
      <w:start w:val="2"/>
      <w:numFmt w:val="decimal"/>
      <w:suff w:val="nothing"/>
      <w:lvlText w:val="%1、"/>
      <w:lvlJc w:val="left"/>
    </w:lvl>
  </w:abstractNum>
  <w:abstractNum w:abstractNumId="7">
    <w:nsid w:val="2B8C606C"/>
    <w:multiLevelType w:val="singleLevel"/>
    <w:tmpl w:val="2B8C606C"/>
    <w:lvl w:ilvl="0" w:tentative="0">
      <w:start w:val="2"/>
      <w:numFmt w:val="decimal"/>
      <w:suff w:val="nothing"/>
      <w:lvlText w:val="%1、"/>
      <w:lvlJc w:val="left"/>
    </w:lvl>
  </w:abstractNum>
  <w:abstractNum w:abstractNumId="8">
    <w:nsid w:val="38C967A2"/>
    <w:multiLevelType w:val="singleLevel"/>
    <w:tmpl w:val="38C967A2"/>
    <w:lvl w:ilvl="0" w:tentative="0">
      <w:start w:val="4"/>
      <w:numFmt w:val="decimal"/>
      <w:suff w:val="nothing"/>
      <w:lvlText w:val="（%1）"/>
      <w:lvlJc w:val="left"/>
    </w:lvl>
  </w:abstractNum>
  <w:abstractNum w:abstractNumId="9">
    <w:nsid w:val="4880F7A2"/>
    <w:multiLevelType w:val="singleLevel"/>
    <w:tmpl w:val="4880F7A2"/>
    <w:lvl w:ilvl="0" w:tentative="0">
      <w:start w:val="1"/>
      <w:numFmt w:val="chineseCounting"/>
      <w:suff w:val="nothing"/>
      <w:lvlText w:val="%1、"/>
      <w:lvlJc w:val="left"/>
      <w:rPr>
        <w:rFonts w:hint="eastAsia"/>
      </w:rPr>
    </w:lvl>
  </w:abstractNum>
  <w:abstractNum w:abstractNumId="10">
    <w:nsid w:val="4EBE0CF4"/>
    <w:multiLevelType w:val="singleLevel"/>
    <w:tmpl w:val="4EBE0CF4"/>
    <w:lvl w:ilvl="0" w:tentative="0">
      <w:start w:val="1"/>
      <w:numFmt w:val="chineseCounting"/>
      <w:suff w:val="nothing"/>
      <w:lvlText w:val="%1、"/>
      <w:lvlJc w:val="left"/>
      <w:rPr>
        <w:rFonts w:hint="eastAsia"/>
      </w:rPr>
    </w:lvl>
  </w:abstractNum>
  <w:abstractNum w:abstractNumId="11">
    <w:nsid w:val="59101D7D"/>
    <w:multiLevelType w:val="singleLevel"/>
    <w:tmpl w:val="59101D7D"/>
    <w:lvl w:ilvl="0" w:tentative="0">
      <w:start w:val="1"/>
      <w:numFmt w:val="chineseCounting"/>
      <w:suff w:val="nothing"/>
      <w:lvlText w:val="（%1）"/>
      <w:lvlJc w:val="left"/>
    </w:lvl>
  </w:abstractNum>
  <w:num w:numId="1">
    <w:abstractNumId w:val="9"/>
  </w:num>
  <w:num w:numId="2">
    <w:abstractNumId w:val="10"/>
  </w:num>
  <w:num w:numId="3">
    <w:abstractNumId w:val="8"/>
  </w:num>
  <w:num w:numId="4">
    <w:abstractNumId w:val="5"/>
  </w:num>
  <w:num w:numId="5">
    <w:abstractNumId w:val="2"/>
  </w:num>
  <w:num w:numId="6">
    <w:abstractNumId w:val="3"/>
  </w:num>
  <w:num w:numId="7">
    <w:abstractNumId w:val="11"/>
  </w:num>
  <w:num w:numId="8">
    <w:abstractNumId w:val="0"/>
  </w:num>
  <w:num w:numId="9">
    <w:abstractNumId w:val="6"/>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D02"/>
    <w:rsid w:val="002253FD"/>
    <w:rsid w:val="002C45FD"/>
    <w:rsid w:val="002E767F"/>
    <w:rsid w:val="002F156A"/>
    <w:rsid w:val="00370864"/>
    <w:rsid w:val="00622248"/>
    <w:rsid w:val="00671BCB"/>
    <w:rsid w:val="00795C18"/>
    <w:rsid w:val="009972D8"/>
    <w:rsid w:val="00A13ACD"/>
    <w:rsid w:val="00AE0025"/>
    <w:rsid w:val="00CF0392"/>
    <w:rsid w:val="00DD0D62"/>
    <w:rsid w:val="00E52C9A"/>
    <w:rsid w:val="00F235B7"/>
    <w:rsid w:val="010F73FF"/>
    <w:rsid w:val="01126541"/>
    <w:rsid w:val="014F1C53"/>
    <w:rsid w:val="014F207F"/>
    <w:rsid w:val="01580B4C"/>
    <w:rsid w:val="015B5F4B"/>
    <w:rsid w:val="015E38B1"/>
    <w:rsid w:val="017056B7"/>
    <w:rsid w:val="01890E15"/>
    <w:rsid w:val="01953486"/>
    <w:rsid w:val="01970FC5"/>
    <w:rsid w:val="01993E0E"/>
    <w:rsid w:val="019A556D"/>
    <w:rsid w:val="019D2D69"/>
    <w:rsid w:val="01A85655"/>
    <w:rsid w:val="01AF033C"/>
    <w:rsid w:val="01B113E0"/>
    <w:rsid w:val="01C25323"/>
    <w:rsid w:val="01C91B52"/>
    <w:rsid w:val="01CA5195"/>
    <w:rsid w:val="01DB4FDD"/>
    <w:rsid w:val="01E10ED5"/>
    <w:rsid w:val="01E9592D"/>
    <w:rsid w:val="01EC6EB9"/>
    <w:rsid w:val="01ED5132"/>
    <w:rsid w:val="020155B8"/>
    <w:rsid w:val="02041F38"/>
    <w:rsid w:val="022D6185"/>
    <w:rsid w:val="0232073B"/>
    <w:rsid w:val="023E57A9"/>
    <w:rsid w:val="02401D23"/>
    <w:rsid w:val="0242733A"/>
    <w:rsid w:val="02431F05"/>
    <w:rsid w:val="025556D9"/>
    <w:rsid w:val="02556FF8"/>
    <w:rsid w:val="0256439F"/>
    <w:rsid w:val="02667740"/>
    <w:rsid w:val="02680CF4"/>
    <w:rsid w:val="0271520E"/>
    <w:rsid w:val="027767FF"/>
    <w:rsid w:val="028B71CA"/>
    <w:rsid w:val="029611D3"/>
    <w:rsid w:val="02987B4B"/>
    <w:rsid w:val="02B1620D"/>
    <w:rsid w:val="02D766EE"/>
    <w:rsid w:val="02DE5EC9"/>
    <w:rsid w:val="02EE0F62"/>
    <w:rsid w:val="02FD774F"/>
    <w:rsid w:val="0317437B"/>
    <w:rsid w:val="032D34EE"/>
    <w:rsid w:val="032D7B15"/>
    <w:rsid w:val="032F5AEB"/>
    <w:rsid w:val="03300A2B"/>
    <w:rsid w:val="033240E6"/>
    <w:rsid w:val="0335587F"/>
    <w:rsid w:val="035A54FF"/>
    <w:rsid w:val="03647803"/>
    <w:rsid w:val="037F317F"/>
    <w:rsid w:val="038B6582"/>
    <w:rsid w:val="03941436"/>
    <w:rsid w:val="039A3FF3"/>
    <w:rsid w:val="039E7B25"/>
    <w:rsid w:val="03AE01CD"/>
    <w:rsid w:val="03B170B0"/>
    <w:rsid w:val="03E16D2F"/>
    <w:rsid w:val="03FF6250"/>
    <w:rsid w:val="040858CA"/>
    <w:rsid w:val="040A31B2"/>
    <w:rsid w:val="04231C1A"/>
    <w:rsid w:val="0429686D"/>
    <w:rsid w:val="04346851"/>
    <w:rsid w:val="043A1A9A"/>
    <w:rsid w:val="043A6726"/>
    <w:rsid w:val="04476BB6"/>
    <w:rsid w:val="04484C19"/>
    <w:rsid w:val="04486077"/>
    <w:rsid w:val="044E62DC"/>
    <w:rsid w:val="0450725F"/>
    <w:rsid w:val="0474669B"/>
    <w:rsid w:val="047A1A04"/>
    <w:rsid w:val="04827E18"/>
    <w:rsid w:val="0484411B"/>
    <w:rsid w:val="048C1AE4"/>
    <w:rsid w:val="048E206B"/>
    <w:rsid w:val="049732E7"/>
    <w:rsid w:val="049E6A77"/>
    <w:rsid w:val="04AD08CC"/>
    <w:rsid w:val="04BD7136"/>
    <w:rsid w:val="04BF494C"/>
    <w:rsid w:val="04C2525D"/>
    <w:rsid w:val="04ED6EB5"/>
    <w:rsid w:val="04F82D5B"/>
    <w:rsid w:val="050E45BB"/>
    <w:rsid w:val="05164C1B"/>
    <w:rsid w:val="05545E79"/>
    <w:rsid w:val="057C161E"/>
    <w:rsid w:val="05872C1E"/>
    <w:rsid w:val="05983D0D"/>
    <w:rsid w:val="05C1233C"/>
    <w:rsid w:val="05C83AFB"/>
    <w:rsid w:val="05D9763E"/>
    <w:rsid w:val="06281CC8"/>
    <w:rsid w:val="062B48B2"/>
    <w:rsid w:val="063E19EB"/>
    <w:rsid w:val="063F0FD2"/>
    <w:rsid w:val="064E721C"/>
    <w:rsid w:val="066574DD"/>
    <w:rsid w:val="06662659"/>
    <w:rsid w:val="066F1315"/>
    <w:rsid w:val="067A5A5F"/>
    <w:rsid w:val="06805A2C"/>
    <w:rsid w:val="068A1151"/>
    <w:rsid w:val="06A07A49"/>
    <w:rsid w:val="06CA0C1E"/>
    <w:rsid w:val="06CA15C5"/>
    <w:rsid w:val="06D16E5B"/>
    <w:rsid w:val="06D65BB0"/>
    <w:rsid w:val="06D92243"/>
    <w:rsid w:val="06DD41B6"/>
    <w:rsid w:val="06E111F9"/>
    <w:rsid w:val="06E273DA"/>
    <w:rsid w:val="06E35419"/>
    <w:rsid w:val="06EA37F3"/>
    <w:rsid w:val="06F94962"/>
    <w:rsid w:val="06F97205"/>
    <w:rsid w:val="0701290B"/>
    <w:rsid w:val="07130DA9"/>
    <w:rsid w:val="07180158"/>
    <w:rsid w:val="071B4A58"/>
    <w:rsid w:val="072724DF"/>
    <w:rsid w:val="072D19EF"/>
    <w:rsid w:val="07364E18"/>
    <w:rsid w:val="074F0553"/>
    <w:rsid w:val="075061FE"/>
    <w:rsid w:val="076F58D4"/>
    <w:rsid w:val="0774080A"/>
    <w:rsid w:val="07843D73"/>
    <w:rsid w:val="07AB03B6"/>
    <w:rsid w:val="07AD0E20"/>
    <w:rsid w:val="07C3462C"/>
    <w:rsid w:val="07C63814"/>
    <w:rsid w:val="07D50095"/>
    <w:rsid w:val="07E67A64"/>
    <w:rsid w:val="07ED10D6"/>
    <w:rsid w:val="07EF43A3"/>
    <w:rsid w:val="07FD14C1"/>
    <w:rsid w:val="080479E3"/>
    <w:rsid w:val="080907BD"/>
    <w:rsid w:val="080F5C2A"/>
    <w:rsid w:val="083408C0"/>
    <w:rsid w:val="084657AB"/>
    <w:rsid w:val="084E5827"/>
    <w:rsid w:val="086122AE"/>
    <w:rsid w:val="0861766D"/>
    <w:rsid w:val="08730932"/>
    <w:rsid w:val="08755FF3"/>
    <w:rsid w:val="087A6ABC"/>
    <w:rsid w:val="088C20BF"/>
    <w:rsid w:val="08923E90"/>
    <w:rsid w:val="089D25B0"/>
    <w:rsid w:val="08A94922"/>
    <w:rsid w:val="08C66B6C"/>
    <w:rsid w:val="08CE2B32"/>
    <w:rsid w:val="08DF5847"/>
    <w:rsid w:val="08F26601"/>
    <w:rsid w:val="08FD2412"/>
    <w:rsid w:val="09031236"/>
    <w:rsid w:val="09274D3A"/>
    <w:rsid w:val="092D10D3"/>
    <w:rsid w:val="092D7F15"/>
    <w:rsid w:val="09400591"/>
    <w:rsid w:val="0987140B"/>
    <w:rsid w:val="098B78BE"/>
    <w:rsid w:val="09A47D93"/>
    <w:rsid w:val="09C75D56"/>
    <w:rsid w:val="09E1718C"/>
    <w:rsid w:val="09E844DE"/>
    <w:rsid w:val="09E85647"/>
    <w:rsid w:val="0A032A74"/>
    <w:rsid w:val="0A072590"/>
    <w:rsid w:val="0A164DF3"/>
    <w:rsid w:val="0A210C0D"/>
    <w:rsid w:val="0A3405B4"/>
    <w:rsid w:val="0A360DA9"/>
    <w:rsid w:val="0A5F09CD"/>
    <w:rsid w:val="0A633B5D"/>
    <w:rsid w:val="0A6E6EFD"/>
    <w:rsid w:val="0A7E0634"/>
    <w:rsid w:val="0AA82AD4"/>
    <w:rsid w:val="0AAC503E"/>
    <w:rsid w:val="0AAC5E5C"/>
    <w:rsid w:val="0AB32CF7"/>
    <w:rsid w:val="0AC059D5"/>
    <w:rsid w:val="0AD048C2"/>
    <w:rsid w:val="0AD65B46"/>
    <w:rsid w:val="0B027E47"/>
    <w:rsid w:val="0B331B6D"/>
    <w:rsid w:val="0B5A52FC"/>
    <w:rsid w:val="0B5C0633"/>
    <w:rsid w:val="0B621B77"/>
    <w:rsid w:val="0B675F48"/>
    <w:rsid w:val="0B784B33"/>
    <w:rsid w:val="0B790EBF"/>
    <w:rsid w:val="0B7F540A"/>
    <w:rsid w:val="0B835CC4"/>
    <w:rsid w:val="0B9C1D6F"/>
    <w:rsid w:val="0BB1239B"/>
    <w:rsid w:val="0BBF7019"/>
    <w:rsid w:val="0BE34687"/>
    <w:rsid w:val="0BE53255"/>
    <w:rsid w:val="0BF02A07"/>
    <w:rsid w:val="0BF97B98"/>
    <w:rsid w:val="0BFD5318"/>
    <w:rsid w:val="0C014A4B"/>
    <w:rsid w:val="0C283155"/>
    <w:rsid w:val="0C2A0B15"/>
    <w:rsid w:val="0C2D0084"/>
    <w:rsid w:val="0C3622EF"/>
    <w:rsid w:val="0C3733C2"/>
    <w:rsid w:val="0C3977EF"/>
    <w:rsid w:val="0C447085"/>
    <w:rsid w:val="0C597609"/>
    <w:rsid w:val="0C5D087E"/>
    <w:rsid w:val="0C645B04"/>
    <w:rsid w:val="0C6471DC"/>
    <w:rsid w:val="0C771C88"/>
    <w:rsid w:val="0C8842E9"/>
    <w:rsid w:val="0C8B402F"/>
    <w:rsid w:val="0C8B5077"/>
    <w:rsid w:val="0CA0304F"/>
    <w:rsid w:val="0CAA21C6"/>
    <w:rsid w:val="0CB3317D"/>
    <w:rsid w:val="0CC06EAA"/>
    <w:rsid w:val="0CC63496"/>
    <w:rsid w:val="0CCE583D"/>
    <w:rsid w:val="0CD252A1"/>
    <w:rsid w:val="0CF93351"/>
    <w:rsid w:val="0D052332"/>
    <w:rsid w:val="0D2F728A"/>
    <w:rsid w:val="0D5A2357"/>
    <w:rsid w:val="0DBB0A1F"/>
    <w:rsid w:val="0DC53D85"/>
    <w:rsid w:val="0DD05B00"/>
    <w:rsid w:val="0DE6667A"/>
    <w:rsid w:val="0DEE69A4"/>
    <w:rsid w:val="0E01193B"/>
    <w:rsid w:val="0E066597"/>
    <w:rsid w:val="0E14428F"/>
    <w:rsid w:val="0E2E5FC3"/>
    <w:rsid w:val="0E353C80"/>
    <w:rsid w:val="0E371DF4"/>
    <w:rsid w:val="0E3E4757"/>
    <w:rsid w:val="0E4D64E2"/>
    <w:rsid w:val="0E507401"/>
    <w:rsid w:val="0E517107"/>
    <w:rsid w:val="0E781A7B"/>
    <w:rsid w:val="0E7D3863"/>
    <w:rsid w:val="0E850C23"/>
    <w:rsid w:val="0E864694"/>
    <w:rsid w:val="0E88576D"/>
    <w:rsid w:val="0E890E8C"/>
    <w:rsid w:val="0E91740F"/>
    <w:rsid w:val="0E9B6D3D"/>
    <w:rsid w:val="0EB041F0"/>
    <w:rsid w:val="0EBB0EEB"/>
    <w:rsid w:val="0ED10450"/>
    <w:rsid w:val="0ED236A8"/>
    <w:rsid w:val="0ED532E9"/>
    <w:rsid w:val="0EF47FC9"/>
    <w:rsid w:val="0EF504A3"/>
    <w:rsid w:val="0EFA2EA0"/>
    <w:rsid w:val="0EFF54CB"/>
    <w:rsid w:val="0F006124"/>
    <w:rsid w:val="0F337FD6"/>
    <w:rsid w:val="0F452D81"/>
    <w:rsid w:val="0F545B15"/>
    <w:rsid w:val="0F55721C"/>
    <w:rsid w:val="0F5D01C8"/>
    <w:rsid w:val="0F5F131F"/>
    <w:rsid w:val="0F6504A6"/>
    <w:rsid w:val="0F6E2C12"/>
    <w:rsid w:val="0F814A77"/>
    <w:rsid w:val="0F9E0C52"/>
    <w:rsid w:val="0FA07918"/>
    <w:rsid w:val="0FB31831"/>
    <w:rsid w:val="0FB81473"/>
    <w:rsid w:val="0FBE42F6"/>
    <w:rsid w:val="0FF31690"/>
    <w:rsid w:val="0FFA383F"/>
    <w:rsid w:val="10155416"/>
    <w:rsid w:val="10484CF8"/>
    <w:rsid w:val="104F1672"/>
    <w:rsid w:val="106909B5"/>
    <w:rsid w:val="106C1A3D"/>
    <w:rsid w:val="106D7F0F"/>
    <w:rsid w:val="107839B8"/>
    <w:rsid w:val="1093019A"/>
    <w:rsid w:val="10AD18A1"/>
    <w:rsid w:val="10C04890"/>
    <w:rsid w:val="10C52B4D"/>
    <w:rsid w:val="10CB7577"/>
    <w:rsid w:val="10D2613D"/>
    <w:rsid w:val="10DA18F1"/>
    <w:rsid w:val="10DB6B2D"/>
    <w:rsid w:val="10E94F54"/>
    <w:rsid w:val="10FB1182"/>
    <w:rsid w:val="11090DC4"/>
    <w:rsid w:val="11321E3D"/>
    <w:rsid w:val="113826D7"/>
    <w:rsid w:val="113A346B"/>
    <w:rsid w:val="11645DDB"/>
    <w:rsid w:val="116E6AE3"/>
    <w:rsid w:val="117F59F3"/>
    <w:rsid w:val="118E1112"/>
    <w:rsid w:val="11997ACE"/>
    <w:rsid w:val="11AF0120"/>
    <w:rsid w:val="11CA43E1"/>
    <w:rsid w:val="11D26507"/>
    <w:rsid w:val="120805F6"/>
    <w:rsid w:val="12126DDF"/>
    <w:rsid w:val="12326D6E"/>
    <w:rsid w:val="123B3273"/>
    <w:rsid w:val="124D5340"/>
    <w:rsid w:val="125641CD"/>
    <w:rsid w:val="12737E80"/>
    <w:rsid w:val="129102D3"/>
    <w:rsid w:val="12C61247"/>
    <w:rsid w:val="12CA2120"/>
    <w:rsid w:val="12E11C05"/>
    <w:rsid w:val="12F9722B"/>
    <w:rsid w:val="130F00D2"/>
    <w:rsid w:val="132314D6"/>
    <w:rsid w:val="132C06CF"/>
    <w:rsid w:val="13356AEA"/>
    <w:rsid w:val="133F4BF4"/>
    <w:rsid w:val="13522A48"/>
    <w:rsid w:val="135D09DB"/>
    <w:rsid w:val="13637E8D"/>
    <w:rsid w:val="138957EB"/>
    <w:rsid w:val="13976A67"/>
    <w:rsid w:val="13C168CD"/>
    <w:rsid w:val="13C21A16"/>
    <w:rsid w:val="13C57281"/>
    <w:rsid w:val="13D24A29"/>
    <w:rsid w:val="13EF44FB"/>
    <w:rsid w:val="13EF575A"/>
    <w:rsid w:val="1420197F"/>
    <w:rsid w:val="143C55AC"/>
    <w:rsid w:val="144642D1"/>
    <w:rsid w:val="144A6D53"/>
    <w:rsid w:val="1463096A"/>
    <w:rsid w:val="146350F5"/>
    <w:rsid w:val="146B6632"/>
    <w:rsid w:val="14894160"/>
    <w:rsid w:val="148F6522"/>
    <w:rsid w:val="14A6142B"/>
    <w:rsid w:val="14AB7152"/>
    <w:rsid w:val="14B3423F"/>
    <w:rsid w:val="14BB2F6A"/>
    <w:rsid w:val="14BC3F44"/>
    <w:rsid w:val="14C24DE4"/>
    <w:rsid w:val="14E2133F"/>
    <w:rsid w:val="14E61804"/>
    <w:rsid w:val="14EB2251"/>
    <w:rsid w:val="14F73FF6"/>
    <w:rsid w:val="14FF73B6"/>
    <w:rsid w:val="150A241D"/>
    <w:rsid w:val="15253CAD"/>
    <w:rsid w:val="15355695"/>
    <w:rsid w:val="15390648"/>
    <w:rsid w:val="153A0347"/>
    <w:rsid w:val="154A3E5A"/>
    <w:rsid w:val="155A039E"/>
    <w:rsid w:val="15615D7A"/>
    <w:rsid w:val="15653DD6"/>
    <w:rsid w:val="156D0F54"/>
    <w:rsid w:val="157013A4"/>
    <w:rsid w:val="157031E8"/>
    <w:rsid w:val="1573169B"/>
    <w:rsid w:val="15762C99"/>
    <w:rsid w:val="157A12EB"/>
    <w:rsid w:val="15804EAE"/>
    <w:rsid w:val="15860789"/>
    <w:rsid w:val="158730CA"/>
    <w:rsid w:val="15884267"/>
    <w:rsid w:val="15A85288"/>
    <w:rsid w:val="15B041C3"/>
    <w:rsid w:val="15C27778"/>
    <w:rsid w:val="15D81411"/>
    <w:rsid w:val="15DF2C39"/>
    <w:rsid w:val="15ED34B0"/>
    <w:rsid w:val="15FB1D34"/>
    <w:rsid w:val="16034E31"/>
    <w:rsid w:val="1605120E"/>
    <w:rsid w:val="16190591"/>
    <w:rsid w:val="161B24ED"/>
    <w:rsid w:val="16315F3B"/>
    <w:rsid w:val="16377DF5"/>
    <w:rsid w:val="165610C7"/>
    <w:rsid w:val="165E7500"/>
    <w:rsid w:val="16603641"/>
    <w:rsid w:val="168A73C9"/>
    <w:rsid w:val="16A41450"/>
    <w:rsid w:val="16CE00E9"/>
    <w:rsid w:val="16D20024"/>
    <w:rsid w:val="16E753B9"/>
    <w:rsid w:val="16E82BAF"/>
    <w:rsid w:val="16FA7197"/>
    <w:rsid w:val="16FF4681"/>
    <w:rsid w:val="170A65B2"/>
    <w:rsid w:val="170B3257"/>
    <w:rsid w:val="170F08D4"/>
    <w:rsid w:val="171F3AD6"/>
    <w:rsid w:val="1720460A"/>
    <w:rsid w:val="172C546F"/>
    <w:rsid w:val="1752623F"/>
    <w:rsid w:val="175C6FEB"/>
    <w:rsid w:val="176033C7"/>
    <w:rsid w:val="17607430"/>
    <w:rsid w:val="176730C8"/>
    <w:rsid w:val="176828A6"/>
    <w:rsid w:val="17765FB1"/>
    <w:rsid w:val="178A16AA"/>
    <w:rsid w:val="17AA279E"/>
    <w:rsid w:val="17AC7C22"/>
    <w:rsid w:val="17B64779"/>
    <w:rsid w:val="17BF6070"/>
    <w:rsid w:val="17C02847"/>
    <w:rsid w:val="17D70A30"/>
    <w:rsid w:val="17E62E44"/>
    <w:rsid w:val="17E85A1B"/>
    <w:rsid w:val="17F259C7"/>
    <w:rsid w:val="1806011E"/>
    <w:rsid w:val="182A3253"/>
    <w:rsid w:val="183B044F"/>
    <w:rsid w:val="184338D8"/>
    <w:rsid w:val="184648E1"/>
    <w:rsid w:val="186179C6"/>
    <w:rsid w:val="18721478"/>
    <w:rsid w:val="1880374E"/>
    <w:rsid w:val="188358F3"/>
    <w:rsid w:val="18AD50ED"/>
    <w:rsid w:val="18CA07D5"/>
    <w:rsid w:val="18D144BA"/>
    <w:rsid w:val="18D2335A"/>
    <w:rsid w:val="18D84372"/>
    <w:rsid w:val="18DD4F53"/>
    <w:rsid w:val="18E75BE9"/>
    <w:rsid w:val="18EA1AAB"/>
    <w:rsid w:val="18EC6D83"/>
    <w:rsid w:val="18F400A1"/>
    <w:rsid w:val="18F44795"/>
    <w:rsid w:val="191270CA"/>
    <w:rsid w:val="1926446B"/>
    <w:rsid w:val="193C2D0B"/>
    <w:rsid w:val="193C5F77"/>
    <w:rsid w:val="194A7972"/>
    <w:rsid w:val="19570FDA"/>
    <w:rsid w:val="19607E14"/>
    <w:rsid w:val="196111E6"/>
    <w:rsid w:val="196E33D4"/>
    <w:rsid w:val="197429FC"/>
    <w:rsid w:val="1987504C"/>
    <w:rsid w:val="198A747D"/>
    <w:rsid w:val="19966167"/>
    <w:rsid w:val="1997768F"/>
    <w:rsid w:val="19B06CAC"/>
    <w:rsid w:val="19B45E7D"/>
    <w:rsid w:val="19B91E88"/>
    <w:rsid w:val="19C51929"/>
    <w:rsid w:val="19CA0D80"/>
    <w:rsid w:val="1A0B6088"/>
    <w:rsid w:val="1A0F5D37"/>
    <w:rsid w:val="1A234F13"/>
    <w:rsid w:val="1A244D5E"/>
    <w:rsid w:val="1A2C0DB5"/>
    <w:rsid w:val="1A311D63"/>
    <w:rsid w:val="1A354B66"/>
    <w:rsid w:val="1A371F59"/>
    <w:rsid w:val="1A3C1410"/>
    <w:rsid w:val="1A3D5BCF"/>
    <w:rsid w:val="1A457E8D"/>
    <w:rsid w:val="1A635A93"/>
    <w:rsid w:val="1A694F56"/>
    <w:rsid w:val="1A8B06DE"/>
    <w:rsid w:val="1A8F7A8E"/>
    <w:rsid w:val="1A927CAC"/>
    <w:rsid w:val="1A9A727D"/>
    <w:rsid w:val="1A9E5BFF"/>
    <w:rsid w:val="1AAC6613"/>
    <w:rsid w:val="1AB244D3"/>
    <w:rsid w:val="1ABF2410"/>
    <w:rsid w:val="1AC54390"/>
    <w:rsid w:val="1ACA25CB"/>
    <w:rsid w:val="1ACE306A"/>
    <w:rsid w:val="1ACF6564"/>
    <w:rsid w:val="1AF51B94"/>
    <w:rsid w:val="1B030B49"/>
    <w:rsid w:val="1B465F49"/>
    <w:rsid w:val="1B4D5E7F"/>
    <w:rsid w:val="1B6F65FF"/>
    <w:rsid w:val="1B88752F"/>
    <w:rsid w:val="1BA2637C"/>
    <w:rsid w:val="1BA5364D"/>
    <w:rsid w:val="1BB91B3F"/>
    <w:rsid w:val="1BBE6EB6"/>
    <w:rsid w:val="1BBF04D3"/>
    <w:rsid w:val="1BC81510"/>
    <w:rsid w:val="1BCA270E"/>
    <w:rsid w:val="1BCD6C85"/>
    <w:rsid w:val="1BCF4794"/>
    <w:rsid w:val="1BDE6192"/>
    <w:rsid w:val="1BEB1D5C"/>
    <w:rsid w:val="1BFB4961"/>
    <w:rsid w:val="1C116601"/>
    <w:rsid w:val="1C13347E"/>
    <w:rsid w:val="1C284A6D"/>
    <w:rsid w:val="1C2B5AA8"/>
    <w:rsid w:val="1C31703E"/>
    <w:rsid w:val="1C4A7ABE"/>
    <w:rsid w:val="1C59501A"/>
    <w:rsid w:val="1C5C026C"/>
    <w:rsid w:val="1C72771A"/>
    <w:rsid w:val="1C730B82"/>
    <w:rsid w:val="1C843A04"/>
    <w:rsid w:val="1C96518C"/>
    <w:rsid w:val="1C9A5EA7"/>
    <w:rsid w:val="1CA54F38"/>
    <w:rsid w:val="1CA632C8"/>
    <w:rsid w:val="1CB1627B"/>
    <w:rsid w:val="1CDC16C3"/>
    <w:rsid w:val="1CE46DAD"/>
    <w:rsid w:val="1CE778E1"/>
    <w:rsid w:val="1CE9326F"/>
    <w:rsid w:val="1CEF521D"/>
    <w:rsid w:val="1CF66D34"/>
    <w:rsid w:val="1D100708"/>
    <w:rsid w:val="1D2E4F3E"/>
    <w:rsid w:val="1D3620D3"/>
    <w:rsid w:val="1D3A311C"/>
    <w:rsid w:val="1D495481"/>
    <w:rsid w:val="1D4D4A09"/>
    <w:rsid w:val="1D54441E"/>
    <w:rsid w:val="1D641E7E"/>
    <w:rsid w:val="1D7011CC"/>
    <w:rsid w:val="1D7355BA"/>
    <w:rsid w:val="1D746AA5"/>
    <w:rsid w:val="1D7C2734"/>
    <w:rsid w:val="1D7F3F10"/>
    <w:rsid w:val="1DB3718B"/>
    <w:rsid w:val="1DBA70F4"/>
    <w:rsid w:val="1DCA4866"/>
    <w:rsid w:val="1DEB17C0"/>
    <w:rsid w:val="1DFB3626"/>
    <w:rsid w:val="1E5A3529"/>
    <w:rsid w:val="1E621751"/>
    <w:rsid w:val="1E636730"/>
    <w:rsid w:val="1E6B6287"/>
    <w:rsid w:val="1E827CC6"/>
    <w:rsid w:val="1E92746A"/>
    <w:rsid w:val="1EA504C6"/>
    <w:rsid w:val="1EB359D9"/>
    <w:rsid w:val="1EB451AD"/>
    <w:rsid w:val="1ECD79F8"/>
    <w:rsid w:val="1ECE110D"/>
    <w:rsid w:val="1ED84101"/>
    <w:rsid w:val="1ED9373F"/>
    <w:rsid w:val="1EE153F6"/>
    <w:rsid w:val="1EE64529"/>
    <w:rsid w:val="1EE738F4"/>
    <w:rsid w:val="1EEB27B3"/>
    <w:rsid w:val="1EEC63D7"/>
    <w:rsid w:val="1F033FEA"/>
    <w:rsid w:val="1F0467BB"/>
    <w:rsid w:val="1F052FA8"/>
    <w:rsid w:val="1F0C0D07"/>
    <w:rsid w:val="1F1E41B7"/>
    <w:rsid w:val="1F26523E"/>
    <w:rsid w:val="1F294D25"/>
    <w:rsid w:val="1F3130F4"/>
    <w:rsid w:val="1F453867"/>
    <w:rsid w:val="1F57682B"/>
    <w:rsid w:val="1F5A6CB8"/>
    <w:rsid w:val="1F6054A4"/>
    <w:rsid w:val="1F6529A8"/>
    <w:rsid w:val="1F895C83"/>
    <w:rsid w:val="1F8D29B5"/>
    <w:rsid w:val="1F8E1974"/>
    <w:rsid w:val="1F8E5A2A"/>
    <w:rsid w:val="1FA60ED8"/>
    <w:rsid w:val="1FC15C67"/>
    <w:rsid w:val="1FCF2D4E"/>
    <w:rsid w:val="1FDE34DA"/>
    <w:rsid w:val="201271D6"/>
    <w:rsid w:val="202F1050"/>
    <w:rsid w:val="204F31E3"/>
    <w:rsid w:val="205B583F"/>
    <w:rsid w:val="20625A4B"/>
    <w:rsid w:val="20715B41"/>
    <w:rsid w:val="20791015"/>
    <w:rsid w:val="207B5270"/>
    <w:rsid w:val="209C107F"/>
    <w:rsid w:val="20BA507E"/>
    <w:rsid w:val="20BD69E0"/>
    <w:rsid w:val="20C14937"/>
    <w:rsid w:val="20C9695B"/>
    <w:rsid w:val="20D25657"/>
    <w:rsid w:val="20D25E3F"/>
    <w:rsid w:val="20E8292D"/>
    <w:rsid w:val="210022C5"/>
    <w:rsid w:val="210B396F"/>
    <w:rsid w:val="210C3FF8"/>
    <w:rsid w:val="211F28B4"/>
    <w:rsid w:val="211F46B1"/>
    <w:rsid w:val="21300BC9"/>
    <w:rsid w:val="21325804"/>
    <w:rsid w:val="214C2BB6"/>
    <w:rsid w:val="2168338D"/>
    <w:rsid w:val="216B4888"/>
    <w:rsid w:val="2174732D"/>
    <w:rsid w:val="21767098"/>
    <w:rsid w:val="217E1722"/>
    <w:rsid w:val="21B40271"/>
    <w:rsid w:val="21B53EFA"/>
    <w:rsid w:val="21B54917"/>
    <w:rsid w:val="21C24969"/>
    <w:rsid w:val="21CB6285"/>
    <w:rsid w:val="21CD2438"/>
    <w:rsid w:val="21F71CD6"/>
    <w:rsid w:val="220E03C6"/>
    <w:rsid w:val="221A4E7F"/>
    <w:rsid w:val="22204D5A"/>
    <w:rsid w:val="222435E5"/>
    <w:rsid w:val="223D05FA"/>
    <w:rsid w:val="22434C69"/>
    <w:rsid w:val="22474CFC"/>
    <w:rsid w:val="226B6AEC"/>
    <w:rsid w:val="226F5260"/>
    <w:rsid w:val="22870F26"/>
    <w:rsid w:val="22C537E6"/>
    <w:rsid w:val="22CB2B98"/>
    <w:rsid w:val="22CD64AE"/>
    <w:rsid w:val="22D320D0"/>
    <w:rsid w:val="22E1012B"/>
    <w:rsid w:val="22E51EBA"/>
    <w:rsid w:val="22E727FE"/>
    <w:rsid w:val="22FB0AA6"/>
    <w:rsid w:val="2307698D"/>
    <w:rsid w:val="23100064"/>
    <w:rsid w:val="233B3AD0"/>
    <w:rsid w:val="2347380C"/>
    <w:rsid w:val="235768B5"/>
    <w:rsid w:val="23626D0A"/>
    <w:rsid w:val="23730439"/>
    <w:rsid w:val="23740965"/>
    <w:rsid w:val="23794DC4"/>
    <w:rsid w:val="23C44BD6"/>
    <w:rsid w:val="23C471AA"/>
    <w:rsid w:val="23E468FE"/>
    <w:rsid w:val="23EF6807"/>
    <w:rsid w:val="23F05CCB"/>
    <w:rsid w:val="23F658F5"/>
    <w:rsid w:val="24091729"/>
    <w:rsid w:val="2419493D"/>
    <w:rsid w:val="241E3F8F"/>
    <w:rsid w:val="243C5A74"/>
    <w:rsid w:val="24490388"/>
    <w:rsid w:val="24506E37"/>
    <w:rsid w:val="245565F7"/>
    <w:rsid w:val="245D7F9E"/>
    <w:rsid w:val="2482099E"/>
    <w:rsid w:val="24833273"/>
    <w:rsid w:val="24B0231F"/>
    <w:rsid w:val="24B9000F"/>
    <w:rsid w:val="24CD04FF"/>
    <w:rsid w:val="24D15BC3"/>
    <w:rsid w:val="24DA4C97"/>
    <w:rsid w:val="24E9585E"/>
    <w:rsid w:val="24F87DA6"/>
    <w:rsid w:val="2515159C"/>
    <w:rsid w:val="251F11B8"/>
    <w:rsid w:val="2520421F"/>
    <w:rsid w:val="256C4E76"/>
    <w:rsid w:val="25826DD6"/>
    <w:rsid w:val="258768AE"/>
    <w:rsid w:val="259209EB"/>
    <w:rsid w:val="259D5667"/>
    <w:rsid w:val="259E7034"/>
    <w:rsid w:val="25A34401"/>
    <w:rsid w:val="25B86ECC"/>
    <w:rsid w:val="25C672BF"/>
    <w:rsid w:val="25C849C2"/>
    <w:rsid w:val="25F13EBC"/>
    <w:rsid w:val="25F713BC"/>
    <w:rsid w:val="26082E4A"/>
    <w:rsid w:val="261927AB"/>
    <w:rsid w:val="26204E32"/>
    <w:rsid w:val="2631227D"/>
    <w:rsid w:val="26313830"/>
    <w:rsid w:val="26443755"/>
    <w:rsid w:val="264A5CB5"/>
    <w:rsid w:val="26662463"/>
    <w:rsid w:val="26706D66"/>
    <w:rsid w:val="267609FF"/>
    <w:rsid w:val="26900CC6"/>
    <w:rsid w:val="269C77F6"/>
    <w:rsid w:val="26AA3C04"/>
    <w:rsid w:val="26AC7567"/>
    <w:rsid w:val="26D840D3"/>
    <w:rsid w:val="26D96DC4"/>
    <w:rsid w:val="26EC12AA"/>
    <w:rsid w:val="26F24C98"/>
    <w:rsid w:val="26F533F9"/>
    <w:rsid w:val="26F87B8F"/>
    <w:rsid w:val="270526DC"/>
    <w:rsid w:val="271921B0"/>
    <w:rsid w:val="27263019"/>
    <w:rsid w:val="2729411D"/>
    <w:rsid w:val="273B0FF8"/>
    <w:rsid w:val="273B1369"/>
    <w:rsid w:val="274000ED"/>
    <w:rsid w:val="274730DD"/>
    <w:rsid w:val="274744E2"/>
    <w:rsid w:val="274934B2"/>
    <w:rsid w:val="274C7263"/>
    <w:rsid w:val="27531CD3"/>
    <w:rsid w:val="2760238A"/>
    <w:rsid w:val="27602AD4"/>
    <w:rsid w:val="27750F48"/>
    <w:rsid w:val="27765109"/>
    <w:rsid w:val="277C0298"/>
    <w:rsid w:val="2784097D"/>
    <w:rsid w:val="27A1497D"/>
    <w:rsid w:val="27C45CF4"/>
    <w:rsid w:val="27CB4377"/>
    <w:rsid w:val="27CC03A4"/>
    <w:rsid w:val="27D920AB"/>
    <w:rsid w:val="27F40FD3"/>
    <w:rsid w:val="280076DC"/>
    <w:rsid w:val="28017ABD"/>
    <w:rsid w:val="28045CD5"/>
    <w:rsid w:val="282E7066"/>
    <w:rsid w:val="2831222A"/>
    <w:rsid w:val="28326886"/>
    <w:rsid w:val="283B7DF9"/>
    <w:rsid w:val="28570644"/>
    <w:rsid w:val="285F7FCC"/>
    <w:rsid w:val="28730C75"/>
    <w:rsid w:val="28785EA2"/>
    <w:rsid w:val="28810E26"/>
    <w:rsid w:val="289A71A2"/>
    <w:rsid w:val="28AA458B"/>
    <w:rsid w:val="28B361A8"/>
    <w:rsid w:val="28D2484B"/>
    <w:rsid w:val="28D332FF"/>
    <w:rsid w:val="28FD1AEA"/>
    <w:rsid w:val="29005CDD"/>
    <w:rsid w:val="2902245E"/>
    <w:rsid w:val="290B660F"/>
    <w:rsid w:val="290D57D3"/>
    <w:rsid w:val="29115341"/>
    <w:rsid w:val="29132444"/>
    <w:rsid w:val="291715E3"/>
    <w:rsid w:val="291D6D28"/>
    <w:rsid w:val="29262415"/>
    <w:rsid w:val="293E2A01"/>
    <w:rsid w:val="29582988"/>
    <w:rsid w:val="298833C5"/>
    <w:rsid w:val="29AC795C"/>
    <w:rsid w:val="29B55E3E"/>
    <w:rsid w:val="29C03779"/>
    <w:rsid w:val="29D04F52"/>
    <w:rsid w:val="29D50B0C"/>
    <w:rsid w:val="29F31753"/>
    <w:rsid w:val="29F35489"/>
    <w:rsid w:val="29FF2304"/>
    <w:rsid w:val="2A010BEF"/>
    <w:rsid w:val="2A0C34A8"/>
    <w:rsid w:val="2A113DA4"/>
    <w:rsid w:val="2A140C05"/>
    <w:rsid w:val="2A2D58D5"/>
    <w:rsid w:val="2A4429B1"/>
    <w:rsid w:val="2A447D73"/>
    <w:rsid w:val="2A641274"/>
    <w:rsid w:val="2A8441A1"/>
    <w:rsid w:val="2A8822C0"/>
    <w:rsid w:val="2AA07514"/>
    <w:rsid w:val="2AA858C7"/>
    <w:rsid w:val="2AAE2C45"/>
    <w:rsid w:val="2AD74C37"/>
    <w:rsid w:val="2ADB7F5C"/>
    <w:rsid w:val="2AE92EAA"/>
    <w:rsid w:val="2B19081E"/>
    <w:rsid w:val="2B3C57A9"/>
    <w:rsid w:val="2B460A34"/>
    <w:rsid w:val="2B586D5D"/>
    <w:rsid w:val="2B6F7D6C"/>
    <w:rsid w:val="2B8E3C6C"/>
    <w:rsid w:val="2BA3685E"/>
    <w:rsid w:val="2BB25419"/>
    <w:rsid w:val="2BB7432F"/>
    <w:rsid w:val="2BC03E1E"/>
    <w:rsid w:val="2BCE6BD1"/>
    <w:rsid w:val="2BDF2850"/>
    <w:rsid w:val="2BE9416E"/>
    <w:rsid w:val="2BF84CE0"/>
    <w:rsid w:val="2C272B49"/>
    <w:rsid w:val="2C3B6CC8"/>
    <w:rsid w:val="2C462271"/>
    <w:rsid w:val="2C4B7AE6"/>
    <w:rsid w:val="2C5C747E"/>
    <w:rsid w:val="2C8801CF"/>
    <w:rsid w:val="2CBB18CA"/>
    <w:rsid w:val="2CBD05BE"/>
    <w:rsid w:val="2CE005A5"/>
    <w:rsid w:val="2CEF67FC"/>
    <w:rsid w:val="2D0D5930"/>
    <w:rsid w:val="2D0F62A7"/>
    <w:rsid w:val="2D0F64BD"/>
    <w:rsid w:val="2D233E1A"/>
    <w:rsid w:val="2D2B4FD6"/>
    <w:rsid w:val="2D3E15E7"/>
    <w:rsid w:val="2D43651B"/>
    <w:rsid w:val="2D49669E"/>
    <w:rsid w:val="2D4D21D4"/>
    <w:rsid w:val="2D523C56"/>
    <w:rsid w:val="2D62357C"/>
    <w:rsid w:val="2D7E6970"/>
    <w:rsid w:val="2D893A36"/>
    <w:rsid w:val="2D8D3A37"/>
    <w:rsid w:val="2D913D0A"/>
    <w:rsid w:val="2DAE469C"/>
    <w:rsid w:val="2DC76876"/>
    <w:rsid w:val="2DC95EC8"/>
    <w:rsid w:val="2DCD6E7D"/>
    <w:rsid w:val="2DD76A5C"/>
    <w:rsid w:val="2DD842BF"/>
    <w:rsid w:val="2DDB7877"/>
    <w:rsid w:val="2DF156ED"/>
    <w:rsid w:val="2DF77290"/>
    <w:rsid w:val="2DF83CF9"/>
    <w:rsid w:val="2E140975"/>
    <w:rsid w:val="2E302D2B"/>
    <w:rsid w:val="2E366A0A"/>
    <w:rsid w:val="2E403EDE"/>
    <w:rsid w:val="2E4B602D"/>
    <w:rsid w:val="2E7009E8"/>
    <w:rsid w:val="2E7D77FC"/>
    <w:rsid w:val="2E833F49"/>
    <w:rsid w:val="2E8415BB"/>
    <w:rsid w:val="2E972ABC"/>
    <w:rsid w:val="2E9B7B94"/>
    <w:rsid w:val="2EB540CC"/>
    <w:rsid w:val="2EBD4813"/>
    <w:rsid w:val="2EE63D95"/>
    <w:rsid w:val="2EE83ECA"/>
    <w:rsid w:val="2EEE32F9"/>
    <w:rsid w:val="2EF01796"/>
    <w:rsid w:val="2EFD7717"/>
    <w:rsid w:val="2F0411D1"/>
    <w:rsid w:val="2F042BED"/>
    <w:rsid w:val="2F2B205E"/>
    <w:rsid w:val="2F4414FA"/>
    <w:rsid w:val="2F4A5D3A"/>
    <w:rsid w:val="2F4A7426"/>
    <w:rsid w:val="2F597074"/>
    <w:rsid w:val="2F6A6460"/>
    <w:rsid w:val="2F9463B6"/>
    <w:rsid w:val="2FA31B2C"/>
    <w:rsid w:val="2FA416DE"/>
    <w:rsid w:val="2FAD4BA7"/>
    <w:rsid w:val="2FAE5DB1"/>
    <w:rsid w:val="2FB1074C"/>
    <w:rsid w:val="2FB165FC"/>
    <w:rsid w:val="2FDC5066"/>
    <w:rsid w:val="2FE27740"/>
    <w:rsid w:val="2FF04CA7"/>
    <w:rsid w:val="2FF4508F"/>
    <w:rsid w:val="2FF81D97"/>
    <w:rsid w:val="3001233A"/>
    <w:rsid w:val="300601D0"/>
    <w:rsid w:val="300D50A9"/>
    <w:rsid w:val="301929A8"/>
    <w:rsid w:val="301A5E56"/>
    <w:rsid w:val="301E15DC"/>
    <w:rsid w:val="302B4ED8"/>
    <w:rsid w:val="302D0CE8"/>
    <w:rsid w:val="30320AD6"/>
    <w:rsid w:val="303932C5"/>
    <w:rsid w:val="30397019"/>
    <w:rsid w:val="30511702"/>
    <w:rsid w:val="30532861"/>
    <w:rsid w:val="305B1A55"/>
    <w:rsid w:val="30737E20"/>
    <w:rsid w:val="307B674D"/>
    <w:rsid w:val="308E6F1A"/>
    <w:rsid w:val="30B8401E"/>
    <w:rsid w:val="30BC1BFF"/>
    <w:rsid w:val="30C24B6D"/>
    <w:rsid w:val="30C503B2"/>
    <w:rsid w:val="30CC070B"/>
    <w:rsid w:val="310E5113"/>
    <w:rsid w:val="31187D77"/>
    <w:rsid w:val="31290EF6"/>
    <w:rsid w:val="312C1D4C"/>
    <w:rsid w:val="313370D7"/>
    <w:rsid w:val="31341DF2"/>
    <w:rsid w:val="313D716C"/>
    <w:rsid w:val="314904B5"/>
    <w:rsid w:val="314F0561"/>
    <w:rsid w:val="314F7EAA"/>
    <w:rsid w:val="317B7206"/>
    <w:rsid w:val="31802175"/>
    <w:rsid w:val="31865A40"/>
    <w:rsid w:val="319D494D"/>
    <w:rsid w:val="31A82CB5"/>
    <w:rsid w:val="31BB2125"/>
    <w:rsid w:val="31C5041D"/>
    <w:rsid w:val="31C85DFD"/>
    <w:rsid w:val="31DF70D3"/>
    <w:rsid w:val="31E16C4E"/>
    <w:rsid w:val="31E6093F"/>
    <w:rsid w:val="31EC0C4C"/>
    <w:rsid w:val="31F92104"/>
    <w:rsid w:val="320B7D56"/>
    <w:rsid w:val="32167667"/>
    <w:rsid w:val="32291F38"/>
    <w:rsid w:val="322C2349"/>
    <w:rsid w:val="3255698C"/>
    <w:rsid w:val="3264214D"/>
    <w:rsid w:val="32656845"/>
    <w:rsid w:val="326B065A"/>
    <w:rsid w:val="327B1FF5"/>
    <w:rsid w:val="32C57F16"/>
    <w:rsid w:val="32D02A1A"/>
    <w:rsid w:val="32D12EAC"/>
    <w:rsid w:val="32DA19B3"/>
    <w:rsid w:val="32DA61F8"/>
    <w:rsid w:val="32DB10E9"/>
    <w:rsid w:val="32E15FE6"/>
    <w:rsid w:val="32F71D4B"/>
    <w:rsid w:val="330F33E2"/>
    <w:rsid w:val="33172C3E"/>
    <w:rsid w:val="3346191E"/>
    <w:rsid w:val="33531323"/>
    <w:rsid w:val="33626723"/>
    <w:rsid w:val="33785CDD"/>
    <w:rsid w:val="337A7A6B"/>
    <w:rsid w:val="338D64B6"/>
    <w:rsid w:val="33AE1F2E"/>
    <w:rsid w:val="33C44CD3"/>
    <w:rsid w:val="33CF4B1E"/>
    <w:rsid w:val="33E52314"/>
    <w:rsid w:val="33E62133"/>
    <w:rsid w:val="33E9474B"/>
    <w:rsid w:val="33FA5A50"/>
    <w:rsid w:val="34166E04"/>
    <w:rsid w:val="342247D7"/>
    <w:rsid w:val="342B35B0"/>
    <w:rsid w:val="34393612"/>
    <w:rsid w:val="344B4226"/>
    <w:rsid w:val="345774E5"/>
    <w:rsid w:val="345876C2"/>
    <w:rsid w:val="346031F9"/>
    <w:rsid w:val="346B1D0D"/>
    <w:rsid w:val="346F41B0"/>
    <w:rsid w:val="34803450"/>
    <w:rsid w:val="348706DA"/>
    <w:rsid w:val="349313D3"/>
    <w:rsid w:val="34996103"/>
    <w:rsid w:val="34E03BED"/>
    <w:rsid w:val="34E6257C"/>
    <w:rsid w:val="34FB2E78"/>
    <w:rsid w:val="350561C8"/>
    <w:rsid w:val="35061D35"/>
    <w:rsid w:val="35131776"/>
    <w:rsid w:val="351D295C"/>
    <w:rsid w:val="35205999"/>
    <w:rsid w:val="354058BF"/>
    <w:rsid w:val="354461D5"/>
    <w:rsid w:val="35465B2B"/>
    <w:rsid w:val="355A5E46"/>
    <w:rsid w:val="355F5E61"/>
    <w:rsid w:val="3563282F"/>
    <w:rsid w:val="356554FE"/>
    <w:rsid w:val="356C05B3"/>
    <w:rsid w:val="35706D7E"/>
    <w:rsid w:val="357B37FD"/>
    <w:rsid w:val="35AF287A"/>
    <w:rsid w:val="35F62E11"/>
    <w:rsid w:val="36060AE8"/>
    <w:rsid w:val="360D43BE"/>
    <w:rsid w:val="360E4A16"/>
    <w:rsid w:val="363A1484"/>
    <w:rsid w:val="363C30F2"/>
    <w:rsid w:val="36636ADB"/>
    <w:rsid w:val="3672566F"/>
    <w:rsid w:val="368C53D4"/>
    <w:rsid w:val="368F1D33"/>
    <w:rsid w:val="36994F5C"/>
    <w:rsid w:val="36CD51C2"/>
    <w:rsid w:val="36DD1A91"/>
    <w:rsid w:val="36DD6D3A"/>
    <w:rsid w:val="36E57F26"/>
    <w:rsid w:val="36EB754F"/>
    <w:rsid w:val="36F94F8C"/>
    <w:rsid w:val="3716462C"/>
    <w:rsid w:val="37232989"/>
    <w:rsid w:val="372D3209"/>
    <w:rsid w:val="373437EB"/>
    <w:rsid w:val="373459D6"/>
    <w:rsid w:val="373A67EB"/>
    <w:rsid w:val="3751779F"/>
    <w:rsid w:val="376071EB"/>
    <w:rsid w:val="3777433A"/>
    <w:rsid w:val="37776436"/>
    <w:rsid w:val="378A52FD"/>
    <w:rsid w:val="379574F0"/>
    <w:rsid w:val="37965D28"/>
    <w:rsid w:val="37A0044A"/>
    <w:rsid w:val="37A87BCF"/>
    <w:rsid w:val="37BD7941"/>
    <w:rsid w:val="37C54A38"/>
    <w:rsid w:val="37E456E8"/>
    <w:rsid w:val="38022F53"/>
    <w:rsid w:val="380C09FD"/>
    <w:rsid w:val="382A6B66"/>
    <w:rsid w:val="38343FF6"/>
    <w:rsid w:val="383B220D"/>
    <w:rsid w:val="385C4EA1"/>
    <w:rsid w:val="385D377C"/>
    <w:rsid w:val="387029DE"/>
    <w:rsid w:val="38796F58"/>
    <w:rsid w:val="387B3ECD"/>
    <w:rsid w:val="387E6BD1"/>
    <w:rsid w:val="38805392"/>
    <w:rsid w:val="38A41DF6"/>
    <w:rsid w:val="38B765B5"/>
    <w:rsid w:val="38BE7113"/>
    <w:rsid w:val="38C2331B"/>
    <w:rsid w:val="38DD7430"/>
    <w:rsid w:val="38DE2680"/>
    <w:rsid w:val="38E2029F"/>
    <w:rsid w:val="38E43BC8"/>
    <w:rsid w:val="38E735B4"/>
    <w:rsid w:val="38ED6358"/>
    <w:rsid w:val="38F1529C"/>
    <w:rsid w:val="390518B9"/>
    <w:rsid w:val="39076BC5"/>
    <w:rsid w:val="390A1609"/>
    <w:rsid w:val="390B093F"/>
    <w:rsid w:val="391B22F5"/>
    <w:rsid w:val="394D7E82"/>
    <w:rsid w:val="395D6E65"/>
    <w:rsid w:val="395E2BFF"/>
    <w:rsid w:val="395F6C7F"/>
    <w:rsid w:val="396C0722"/>
    <w:rsid w:val="396E0076"/>
    <w:rsid w:val="3989577A"/>
    <w:rsid w:val="3996768C"/>
    <w:rsid w:val="3997559E"/>
    <w:rsid w:val="39E4219C"/>
    <w:rsid w:val="39E81581"/>
    <w:rsid w:val="3A081251"/>
    <w:rsid w:val="3A0846FF"/>
    <w:rsid w:val="3A0E763E"/>
    <w:rsid w:val="3A2941B9"/>
    <w:rsid w:val="3A430C6D"/>
    <w:rsid w:val="3A431F2E"/>
    <w:rsid w:val="3A4435D5"/>
    <w:rsid w:val="3A4F521A"/>
    <w:rsid w:val="3A584F0D"/>
    <w:rsid w:val="3A6A455E"/>
    <w:rsid w:val="3A6C3446"/>
    <w:rsid w:val="3A7817A7"/>
    <w:rsid w:val="3A85346E"/>
    <w:rsid w:val="3A8E5BC2"/>
    <w:rsid w:val="3AA84FC4"/>
    <w:rsid w:val="3AA94B20"/>
    <w:rsid w:val="3AAA50C2"/>
    <w:rsid w:val="3AB96F59"/>
    <w:rsid w:val="3ABB6498"/>
    <w:rsid w:val="3AC31CB0"/>
    <w:rsid w:val="3AD83F6D"/>
    <w:rsid w:val="3AE623F5"/>
    <w:rsid w:val="3B017835"/>
    <w:rsid w:val="3B2C0626"/>
    <w:rsid w:val="3B69244F"/>
    <w:rsid w:val="3B6B1793"/>
    <w:rsid w:val="3B765010"/>
    <w:rsid w:val="3B854063"/>
    <w:rsid w:val="3B857B60"/>
    <w:rsid w:val="3B951FB7"/>
    <w:rsid w:val="3BA64688"/>
    <w:rsid w:val="3BAE090B"/>
    <w:rsid w:val="3BB9493D"/>
    <w:rsid w:val="3BE24B88"/>
    <w:rsid w:val="3C05571E"/>
    <w:rsid w:val="3C187174"/>
    <w:rsid w:val="3C1B55B5"/>
    <w:rsid w:val="3C3E0342"/>
    <w:rsid w:val="3C3F3F10"/>
    <w:rsid w:val="3C4B22CA"/>
    <w:rsid w:val="3C5841A3"/>
    <w:rsid w:val="3C5A266C"/>
    <w:rsid w:val="3C6A5BAE"/>
    <w:rsid w:val="3C8A2823"/>
    <w:rsid w:val="3C997D23"/>
    <w:rsid w:val="3C9C428C"/>
    <w:rsid w:val="3CA53AA8"/>
    <w:rsid w:val="3CB05C5D"/>
    <w:rsid w:val="3CB37EE3"/>
    <w:rsid w:val="3CB437D5"/>
    <w:rsid w:val="3CB65D1C"/>
    <w:rsid w:val="3CDE7CF7"/>
    <w:rsid w:val="3CF73C55"/>
    <w:rsid w:val="3D002E73"/>
    <w:rsid w:val="3D09495C"/>
    <w:rsid w:val="3D0D1141"/>
    <w:rsid w:val="3D1712FD"/>
    <w:rsid w:val="3D1E4E95"/>
    <w:rsid w:val="3D3064E4"/>
    <w:rsid w:val="3D4A01A6"/>
    <w:rsid w:val="3D5105B6"/>
    <w:rsid w:val="3D613E65"/>
    <w:rsid w:val="3D7D6603"/>
    <w:rsid w:val="3D7E4D2A"/>
    <w:rsid w:val="3D85112B"/>
    <w:rsid w:val="3D9F235C"/>
    <w:rsid w:val="3DA35F82"/>
    <w:rsid w:val="3DA372FA"/>
    <w:rsid w:val="3DA652A8"/>
    <w:rsid w:val="3DD37407"/>
    <w:rsid w:val="3DE209DB"/>
    <w:rsid w:val="3DEA3547"/>
    <w:rsid w:val="3DEE7182"/>
    <w:rsid w:val="3DEF1518"/>
    <w:rsid w:val="3E0E40CF"/>
    <w:rsid w:val="3E1163AE"/>
    <w:rsid w:val="3E1678EB"/>
    <w:rsid w:val="3E1848B3"/>
    <w:rsid w:val="3E641078"/>
    <w:rsid w:val="3E850107"/>
    <w:rsid w:val="3E8A1ECE"/>
    <w:rsid w:val="3E9576B5"/>
    <w:rsid w:val="3E97336E"/>
    <w:rsid w:val="3EB111C3"/>
    <w:rsid w:val="3EB2178F"/>
    <w:rsid w:val="3EBF2C3F"/>
    <w:rsid w:val="3ECF1AC3"/>
    <w:rsid w:val="3EEC1082"/>
    <w:rsid w:val="3EF85808"/>
    <w:rsid w:val="3F0447E2"/>
    <w:rsid w:val="3F097277"/>
    <w:rsid w:val="3F2C63BF"/>
    <w:rsid w:val="3F3E37D2"/>
    <w:rsid w:val="3F4938AA"/>
    <w:rsid w:val="3F5C074A"/>
    <w:rsid w:val="3F714C8C"/>
    <w:rsid w:val="3F735E50"/>
    <w:rsid w:val="3F881770"/>
    <w:rsid w:val="3F896196"/>
    <w:rsid w:val="3F8A1D44"/>
    <w:rsid w:val="3F8E18AD"/>
    <w:rsid w:val="3F921270"/>
    <w:rsid w:val="3F9C14D2"/>
    <w:rsid w:val="3F9F3FDA"/>
    <w:rsid w:val="3FA37080"/>
    <w:rsid w:val="3FAC53AA"/>
    <w:rsid w:val="3FAE6818"/>
    <w:rsid w:val="3FB66CEC"/>
    <w:rsid w:val="3FB97198"/>
    <w:rsid w:val="3FC73A5A"/>
    <w:rsid w:val="3FCB49C1"/>
    <w:rsid w:val="3FD51A17"/>
    <w:rsid w:val="3FD86321"/>
    <w:rsid w:val="3FD97187"/>
    <w:rsid w:val="3FDC6276"/>
    <w:rsid w:val="3FE1726F"/>
    <w:rsid w:val="40045920"/>
    <w:rsid w:val="400466AD"/>
    <w:rsid w:val="4010692D"/>
    <w:rsid w:val="401B18E4"/>
    <w:rsid w:val="401C4846"/>
    <w:rsid w:val="401F0CEF"/>
    <w:rsid w:val="402037C0"/>
    <w:rsid w:val="40233308"/>
    <w:rsid w:val="402F040C"/>
    <w:rsid w:val="40377D4C"/>
    <w:rsid w:val="40533B4D"/>
    <w:rsid w:val="405771F1"/>
    <w:rsid w:val="405870FE"/>
    <w:rsid w:val="406C4737"/>
    <w:rsid w:val="407476DE"/>
    <w:rsid w:val="40766929"/>
    <w:rsid w:val="407A40FD"/>
    <w:rsid w:val="4080576E"/>
    <w:rsid w:val="40893796"/>
    <w:rsid w:val="40906DF3"/>
    <w:rsid w:val="40AD132D"/>
    <w:rsid w:val="40B54C67"/>
    <w:rsid w:val="40C65F0F"/>
    <w:rsid w:val="40DC2E89"/>
    <w:rsid w:val="40E0439C"/>
    <w:rsid w:val="40E4448E"/>
    <w:rsid w:val="40E5537B"/>
    <w:rsid w:val="40EE2BA1"/>
    <w:rsid w:val="40FD20E7"/>
    <w:rsid w:val="41030B84"/>
    <w:rsid w:val="41112DCA"/>
    <w:rsid w:val="411B0988"/>
    <w:rsid w:val="411B368C"/>
    <w:rsid w:val="412D342E"/>
    <w:rsid w:val="41461B2E"/>
    <w:rsid w:val="415167C3"/>
    <w:rsid w:val="415338FD"/>
    <w:rsid w:val="415D727E"/>
    <w:rsid w:val="41693B28"/>
    <w:rsid w:val="41950A42"/>
    <w:rsid w:val="41C464E3"/>
    <w:rsid w:val="41F04D45"/>
    <w:rsid w:val="41F70554"/>
    <w:rsid w:val="420A3C75"/>
    <w:rsid w:val="421A1387"/>
    <w:rsid w:val="42257A34"/>
    <w:rsid w:val="42336FCE"/>
    <w:rsid w:val="423474E7"/>
    <w:rsid w:val="4237794D"/>
    <w:rsid w:val="4246579C"/>
    <w:rsid w:val="4249046A"/>
    <w:rsid w:val="424F5315"/>
    <w:rsid w:val="42692CB3"/>
    <w:rsid w:val="42717798"/>
    <w:rsid w:val="427270C5"/>
    <w:rsid w:val="427544CD"/>
    <w:rsid w:val="427670F9"/>
    <w:rsid w:val="428D56E4"/>
    <w:rsid w:val="429D7AF9"/>
    <w:rsid w:val="42A673AB"/>
    <w:rsid w:val="42BD09B0"/>
    <w:rsid w:val="42D32DB4"/>
    <w:rsid w:val="42EA7B6D"/>
    <w:rsid w:val="42F94319"/>
    <w:rsid w:val="430010F7"/>
    <w:rsid w:val="4304243D"/>
    <w:rsid w:val="43165A4C"/>
    <w:rsid w:val="43251C33"/>
    <w:rsid w:val="432E482D"/>
    <w:rsid w:val="43417AD7"/>
    <w:rsid w:val="4345663D"/>
    <w:rsid w:val="4346178C"/>
    <w:rsid w:val="434B764D"/>
    <w:rsid w:val="43524C6E"/>
    <w:rsid w:val="43556CA8"/>
    <w:rsid w:val="435976FA"/>
    <w:rsid w:val="435F3011"/>
    <w:rsid w:val="435F37E3"/>
    <w:rsid w:val="438443EA"/>
    <w:rsid w:val="43916D79"/>
    <w:rsid w:val="43934691"/>
    <w:rsid w:val="43984AF5"/>
    <w:rsid w:val="439F4412"/>
    <w:rsid w:val="43B04E2F"/>
    <w:rsid w:val="43B656F6"/>
    <w:rsid w:val="43C76411"/>
    <w:rsid w:val="43CE796A"/>
    <w:rsid w:val="43D16039"/>
    <w:rsid w:val="43DB7FF1"/>
    <w:rsid w:val="43E60D3A"/>
    <w:rsid w:val="43EB637B"/>
    <w:rsid w:val="43FD7641"/>
    <w:rsid w:val="44052057"/>
    <w:rsid w:val="44150BBE"/>
    <w:rsid w:val="44186EDA"/>
    <w:rsid w:val="44295396"/>
    <w:rsid w:val="443476A8"/>
    <w:rsid w:val="44374A9A"/>
    <w:rsid w:val="444040EF"/>
    <w:rsid w:val="44407C04"/>
    <w:rsid w:val="444C0E63"/>
    <w:rsid w:val="446068C4"/>
    <w:rsid w:val="44625B74"/>
    <w:rsid w:val="446B5183"/>
    <w:rsid w:val="447641C0"/>
    <w:rsid w:val="448265EA"/>
    <w:rsid w:val="448D6A14"/>
    <w:rsid w:val="44A66E36"/>
    <w:rsid w:val="44B323CC"/>
    <w:rsid w:val="44BB6B03"/>
    <w:rsid w:val="44BE1624"/>
    <w:rsid w:val="44C9443B"/>
    <w:rsid w:val="44D05358"/>
    <w:rsid w:val="44DE6A26"/>
    <w:rsid w:val="45052253"/>
    <w:rsid w:val="450B05FD"/>
    <w:rsid w:val="450B173A"/>
    <w:rsid w:val="45255257"/>
    <w:rsid w:val="452D4703"/>
    <w:rsid w:val="454110D2"/>
    <w:rsid w:val="45660A65"/>
    <w:rsid w:val="45670FE2"/>
    <w:rsid w:val="456E7F32"/>
    <w:rsid w:val="45A15AC1"/>
    <w:rsid w:val="45A71BF6"/>
    <w:rsid w:val="45A82DDB"/>
    <w:rsid w:val="45BB584A"/>
    <w:rsid w:val="45E077E5"/>
    <w:rsid w:val="45E74A22"/>
    <w:rsid w:val="45F87A53"/>
    <w:rsid w:val="45FB0607"/>
    <w:rsid w:val="46060BB8"/>
    <w:rsid w:val="461619EC"/>
    <w:rsid w:val="46263CBC"/>
    <w:rsid w:val="46504019"/>
    <w:rsid w:val="465B7857"/>
    <w:rsid w:val="466A6667"/>
    <w:rsid w:val="466B53E8"/>
    <w:rsid w:val="46780B12"/>
    <w:rsid w:val="467C5FB6"/>
    <w:rsid w:val="467D56A7"/>
    <w:rsid w:val="4689467B"/>
    <w:rsid w:val="46B80DD7"/>
    <w:rsid w:val="46BA01A2"/>
    <w:rsid w:val="46C378A9"/>
    <w:rsid w:val="46C95E56"/>
    <w:rsid w:val="46CF0804"/>
    <w:rsid w:val="46D47681"/>
    <w:rsid w:val="46D75D58"/>
    <w:rsid w:val="46E76E7C"/>
    <w:rsid w:val="46EB196F"/>
    <w:rsid w:val="46EC1692"/>
    <w:rsid w:val="46FA065D"/>
    <w:rsid w:val="46FC1ABA"/>
    <w:rsid w:val="470E5557"/>
    <w:rsid w:val="470F6CF9"/>
    <w:rsid w:val="47182D49"/>
    <w:rsid w:val="471E230F"/>
    <w:rsid w:val="47212456"/>
    <w:rsid w:val="472128FF"/>
    <w:rsid w:val="474907C0"/>
    <w:rsid w:val="47803205"/>
    <w:rsid w:val="479C1295"/>
    <w:rsid w:val="47AD1FFA"/>
    <w:rsid w:val="47BD7771"/>
    <w:rsid w:val="47C05323"/>
    <w:rsid w:val="47D474ED"/>
    <w:rsid w:val="47E62E4F"/>
    <w:rsid w:val="47EE7AB4"/>
    <w:rsid w:val="48037516"/>
    <w:rsid w:val="48074631"/>
    <w:rsid w:val="48162DA0"/>
    <w:rsid w:val="48186618"/>
    <w:rsid w:val="484671D5"/>
    <w:rsid w:val="484A6412"/>
    <w:rsid w:val="484B2898"/>
    <w:rsid w:val="48643C99"/>
    <w:rsid w:val="486817F7"/>
    <w:rsid w:val="487C411C"/>
    <w:rsid w:val="48890B48"/>
    <w:rsid w:val="488A0C0E"/>
    <w:rsid w:val="489043FF"/>
    <w:rsid w:val="48962CDD"/>
    <w:rsid w:val="489A75EE"/>
    <w:rsid w:val="489C3A18"/>
    <w:rsid w:val="48C51028"/>
    <w:rsid w:val="48CD5E3F"/>
    <w:rsid w:val="48F53E82"/>
    <w:rsid w:val="48F97070"/>
    <w:rsid w:val="48F97F26"/>
    <w:rsid w:val="490B0E32"/>
    <w:rsid w:val="490E244D"/>
    <w:rsid w:val="49185B4D"/>
    <w:rsid w:val="491B105B"/>
    <w:rsid w:val="491E183B"/>
    <w:rsid w:val="492B1542"/>
    <w:rsid w:val="492D2D1C"/>
    <w:rsid w:val="49324375"/>
    <w:rsid w:val="4934221A"/>
    <w:rsid w:val="49400A61"/>
    <w:rsid w:val="494B2863"/>
    <w:rsid w:val="49600F64"/>
    <w:rsid w:val="49601800"/>
    <w:rsid w:val="49626268"/>
    <w:rsid w:val="49936F3D"/>
    <w:rsid w:val="49975948"/>
    <w:rsid w:val="499E20BE"/>
    <w:rsid w:val="49A8228C"/>
    <w:rsid w:val="49B96FA4"/>
    <w:rsid w:val="49CA580A"/>
    <w:rsid w:val="49E52F74"/>
    <w:rsid w:val="49F56ED0"/>
    <w:rsid w:val="49F73C5E"/>
    <w:rsid w:val="4A014263"/>
    <w:rsid w:val="4A171717"/>
    <w:rsid w:val="4A272A34"/>
    <w:rsid w:val="4A2840DE"/>
    <w:rsid w:val="4A2D06A7"/>
    <w:rsid w:val="4A2F490D"/>
    <w:rsid w:val="4A4E17F9"/>
    <w:rsid w:val="4A6C2BE9"/>
    <w:rsid w:val="4A7457BB"/>
    <w:rsid w:val="4A8B5988"/>
    <w:rsid w:val="4A97574B"/>
    <w:rsid w:val="4AE208E9"/>
    <w:rsid w:val="4AF6687A"/>
    <w:rsid w:val="4AFE07B6"/>
    <w:rsid w:val="4B093664"/>
    <w:rsid w:val="4B1554DB"/>
    <w:rsid w:val="4B316EB4"/>
    <w:rsid w:val="4B3310CC"/>
    <w:rsid w:val="4B3935AB"/>
    <w:rsid w:val="4B47526A"/>
    <w:rsid w:val="4B4C1804"/>
    <w:rsid w:val="4B4E6880"/>
    <w:rsid w:val="4B5701E8"/>
    <w:rsid w:val="4B7D2A1E"/>
    <w:rsid w:val="4B8248FA"/>
    <w:rsid w:val="4B961846"/>
    <w:rsid w:val="4B9C2EDB"/>
    <w:rsid w:val="4B9C5328"/>
    <w:rsid w:val="4BA21B5B"/>
    <w:rsid w:val="4BD652E6"/>
    <w:rsid w:val="4BE20443"/>
    <w:rsid w:val="4BE84107"/>
    <w:rsid w:val="4BFA2262"/>
    <w:rsid w:val="4C09181F"/>
    <w:rsid w:val="4C17256A"/>
    <w:rsid w:val="4C211D03"/>
    <w:rsid w:val="4C261C2D"/>
    <w:rsid w:val="4C686972"/>
    <w:rsid w:val="4C6D4EC1"/>
    <w:rsid w:val="4CA2373E"/>
    <w:rsid w:val="4CA61F84"/>
    <w:rsid w:val="4CA82373"/>
    <w:rsid w:val="4CAF6339"/>
    <w:rsid w:val="4CB370AA"/>
    <w:rsid w:val="4CBF0B91"/>
    <w:rsid w:val="4CC42CFE"/>
    <w:rsid w:val="4CCF3CD1"/>
    <w:rsid w:val="4CD24FEE"/>
    <w:rsid w:val="4CEF1B93"/>
    <w:rsid w:val="4CEF30E7"/>
    <w:rsid w:val="4CF5334A"/>
    <w:rsid w:val="4CFC1FA6"/>
    <w:rsid w:val="4CFF3F46"/>
    <w:rsid w:val="4D10188D"/>
    <w:rsid w:val="4D1962B6"/>
    <w:rsid w:val="4D1D799F"/>
    <w:rsid w:val="4D37343E"/>
    <w:rsid w:val="4D3B6989"/>
    <w:rsid w:val="4D3B765F"/>
    <w:rsid w:val="4D413B94"/>
    <w:rsid w:val="4D424A02"/>
    <w:rsid w:val="4D4A1120"/>
    <w:rsid w:val="4D4B7539"/>
    <w:rsid w:val="4D517735"/>
    <w:rsid w:val="4D7E15A6"/>
    <w:rsid w:val="4D90748E"/>
    <w:rsid w:val="4D990F58"/>
    <w:rsid w:val="4DA539D7"/>
    <w:rsid w:val="4DB32170"/>
    <w:rsid w:val="4DB63613"/>
    <w:rsid w:val="4DB97C4E"/>
    <w:rsid w:val="4DC33C9E"/>
    <w:rsid w:val="4DF51AD6"/>
    <w:rsid w:val="4DFE63A5"/>
    <w:rsid w:val="4E08775E"/>
    <w:rsid w:val="4E092A3C"/>
    <w:rsid w:val="4E0E55F2"/>
    <w:rsid w:val="4E2468DC"/>
    <w:rsid w:val="4E2C3BE2"/>
    <w:rsid w:val="4E33437E"/>
    <w:rsid w:val="4E3E04FC"/>
    <w:rsid w:val="4E4404DA"/>
    <w:rsid w:val="4E551FC6"/>
    <w:rsid w:val="4E5D58CB"/>
    <w:rsid w:val="4E6132E5"/>
    <w:rsid w:val="4E6C21A0"/>
    <w:rsid w:val="4E796CF5"/>
    <w:rsid w:val="4E7C214D"/>
    <w:rsid w:val="4E96424C"/>
    <w:rsid w:val="4EB935A8"/>
    <w:rsid w:val="4EBA5A94"/>
    <w:rsid w:val="4ECC50AF"/>
    <w:rsid w:val="4ED546D7"/>
    <w:rsid w:val="4EEA17E2"/>
    <w:rsid w:val="4EF37974"/>
    <w:rsid w:val="4F044E82"/>
    <w:rsid w:val="4F082D30"/>
    <w:rsid w:val="4F1666B8"/>
    <w:rsid w:val="4F3A3D82"/>
    <w:rsid w:val="4F55567E"/>
    <w:rsid w:val="4F5F1B34"/>
    <w:rsid w:val="4F646597"/>
    <w:rsid w:val="4F666345"/>
    <w:rsid w:val="4F6F5FDA"/>
    <w:rsid w:val="4F704987"/>
    <w:rsid w:val="4F7B4D3B"/>
    <w:rsid w:val="4F7F4EBD"/>
    <w:rsid w:val="4F81258E"/>
    <w:rsid w:val="4F912798"/>
    <w:rsid w:val="4F9906D8"/>
    <w:rsid w:val="4FB91FC2"/>
    <w:rsid w:val="4FCE7708"/>
    <w:rsid w:val="4FD875AD"/>
    <w:rsid w:val="4FDE3FD8"/>
    <w:rsid w:val="4FED5FB8"/>
    <w:rsid w:val="4FF43AAC"/>
    <w:rsid w:val="4FF66F1B"/>
    <w:rsid w:val="4FF84EFB"/>
    <w:rsid w:val="50170CCD"/>
    <w:rsid w:val="50231B77"/>
    <w:rsid w:val="50256675"/>
    <w:rsid w:val="50256B03"/>
    <w:rsid w:val="5029160A"/>
    <w:rsid w:val="503F59CB"/>
    <w:rsid w:val="5041786C"/>
    <w:rsid w:val="50467470"/>
    <w:rsid w:val="50582A8C"/>
    <w:rsid w:val="507154D4"/>
    <w:rsid w:val="5071553E"/>
    <w:rsid w:val="50786955"/>
    <w:rsid w:val="507B47B5"/>
    <w:rsid w:val="50871F10"/>
    <w:rsid w:val="5090467D"/>
    <w:rsid w:val="509E65A0"/>
    <w:rsid w:val="50B3650B"/>
    <w:rsid w:val="50B575A5"/>
    <w:rsid w:val="50FA731B"/>
    <w:rsid w:val="510617C4"/>
    <w:rsid w:val="51090D37"/>
    <w:rsid w:val="51184F9B"/>
    <w:rsid w:val="51296463"/>
    <w:rsid w:val="512C4D34"/>
    <w:rsid w:val="512E40B3"/>
    <w:rsid w:val="51305727"/>
    <w:rsid w:val="515E25DC"/>
    <w:rsid w:val="51610E60"/>
    <w:rsid w:val="51643822"/>
    <w:rsid w:val="519F33A9"/>
    <w:rsid w:val="51AA777F"/>
    <w:rsid w:val="51CD34E7"/>
    <w:rsid w:val="51E10182"/>
    <w:rsid w:val="51F017FF"/>
    <w:rsid w:val="52172EDC"/>
    <w:rsid w:val="522A32C7"/>
    <w:rsid w:val="522F23E0"/>
    <w:rsid w:val="52376A37"/>
    <w:rsid w:val="525B7CA8"/>
    <w:rsid w:val="52601385"/>
    <w:rsid w:val="52801034"/>
    <w:rsid w:val="5282209B"/>
    <w:rsid w:val="52A81BB0"/>
    <w:rsid w:val="52AE2176"/>
    <w:rsid w:val="52B6154C"/>
    <w:rsid w:val="52DF3076"/>
    <w:rsid w:val="52EC270F"/>
    <w:rsid w:val="52F96AA3"/>
    <w:rsid w:val="53135ACA"/>
    <w:rsid w:val="531A0E32"/>
    <w:rsid w:val="532D408D"/>
    <w:rsid w:val="533E15B7"/>
    <w:rsid w:val="534E1FA6"/>
    <w:rsid w:val="535B233B"/>
    <w:rsid w:val="536A1066"/>
    <w:rsid w:val="537257B9"/>
    <w:rsid w:val="537B17CA"/>
    <w:rsid w:val="537F752F"/>
    <w:rsid w:val="53953B3E"/>
    <w:rsid w:val="539D52B0"/>
    <w:rsid w:val="539E5116"/>
    <w:rsid w:val="53A70B03"/>
    <w:rsid w:val="53AA4EAE"/>
    <w:rsid w:val="53BE1B57"/>
    <w:rsid w:val="53C87C82"/>
    <w:rsid w:val="53D84EB1"/>
    <w:rsid w:val="53E80570"/>
    <w:rsid w:val="53FB0FA8"/>
    <w:rsid w:val="54083EF6"/>
    <w:rsid w:val="54150CF5"/>
    <w:rsid w:val="542775C1"/>
    <w:rsid w:val="543077FD"/>
    <w:rsid w:val="543E2538"/>
    <w:rsid w:val="54411CFC"/>
    <w:rsid w:val="54601CE7"/>
    <w:rsid w:val="54602B7C"/>
    <w:rsid w:val="54753C2F"/>
    <w:rsid w:val="547A36C1"/>
    <w:rsid w:val="54BC02E1"/>
    <w:rsid w:val="54C00B9B"/>
    <w:rsid w:val="54C65B06"/>
    <w:rsid w:val="54D04AAA"/>
    <w:rsid w:val="54D15B8B"/>
    <w:rsid w:val="54E853AA"/>
    <w:rsid w:val="54EA526B"/>
    <w:rsid w:val="54FC461B"/>
    <w:rsid w:val="55034741"/>
    <w:rsid w:val="550524D1"/>
    <w:rsid w:val="550609C9"/>
    <w:rsid w:val="551061B9"/>
    <w:rsid w:val="55145CE9"/>
    <w:rsid w:val="551534A5"/>
    <w:rsid w:val="551B12EB"/>
    <w:rsid w:val="5525630D"/>
    <w:rsid w:val="553638B6"/>
    <w:rsid w:val="55392803"/>
    <w:rsid w:val="553E64FB"/>
    <w:rsid w:val="554852E6"/>
    <w:rsid w:val="554B5DD1"/>
    <w:rsid w:val="555C7D86"/>
    <w:rsid w:val="55856EA6"/>
    <w:rsid w:val="5599177A"/>
    <w:rsid w:val="55A53D1A"/>
    <w:rsid w:val="55A66151"/>
    <w:rsid w:val="55B0168D"/>
    <w:rsid w:val="55B85E98"/>
    <w:rsid w:val="55D12AAC"/>
    <w:rsid w:val="55E83D9A"/>
    <w:rsid w:val="55F649F8"/>
    <w:rsid w:val="55FA4F77"/>
    <w:rsid w:val="563A0964"/>
    <w:rsid w:val="56401CAD"/>
    <w:rsid w:val="564D1227"/>
    <w:rsid w:val="565B2DFC"/>
    <w:rsid w:val="566860CE"/>
    <w:rsid w:val="56782A25"/>
    <w:rsid w:val="567962A6"/>
    <w:rsid w:val="56913F48"/>
    <w:rsid w:val="56B47341"/>
    <w:rsid w:val="56B7008C"/>
    <w:rsid w:val="56D253E5"/>
    <w:rsid w:val="56D26959"/>
    <w:rsid w:val="56D41930"/>
    <w:rsid w:val="56EA7E02"/>
    <w:rsid w:val="56F06442"/>
    <w:rsid w:val="56F12814"/>
    <w:rsid w:val="56F44F85"/>
    <w:rsid w:val="570B3C83"/>
    <w:rsid w:val="570C01A3"/>
    <w:rsid w:val="572D406F"/>
    <w:rsid w:val="57427529"/>
    <w:rsid w:val="57473833"/>
    <w:rsid w:val="57482C63"/>
    <w:rsid w:val="57594939"/>
    <w:rsid w:val="575F3E61"/>
    <w:rsid w:val="57646AFD"/>
    <w:rsid w:val="576611C2"/>
    <w:rsid w:val="577913F6"/>
    <w:rsid w:val="5782220F"/>
    <w:rsid w:val="579E7860"/>
    <w:rsid w:val="57B06459"/>
    <w:rsid w:val="57B75755"/>
    <w:rsid w:val="57BC65FE"/>
    <w:rsid w:val="57C7643C"/>
    <w:rsid w:val="57D32EEB"/>
    <w:rsid w:val="57E33067"/>
    <w:rsid w:val="57F97146"/>
    <w:rsid w:val="58077C32"/>
    <w:rsid w:val="58170AF7"/>
    <w:rsid w:val="58203632"/>
    <w:rsid w:val="582453CB"/>
    <w:rsid w:val="58326254"/>
    <w:rsid w:val="58387FF5"/>
    <w:rsid w:val="583D2E8E"/>
    <w:rsid w:val="584D54CF"/>
    <w:rsid w:val="584D77C2"/>
    <w:rsid w:val="58580F02"/>
    <w:rsid w:val="585B341E"/>
    <w:rsid w:val="585F0B9F"/>
    <w:rsid w:val="587D3C3B"/>
    <w:rsid w:val="588530C5"/>
    <w:rsid w:val="588F44ED"/>
    <w:rsid w:val="58B354B5"/>
    <w:rsid w:val="58C32615"/>
    <w:rsid w:val="58C44C10"/>
    <w:rsid w:val="58C51CE6"/>
    <w:rsid w:val="58C670A7"/>
    <w:rsid w:val="58D335D1"/>
    <w:rsid w:val="58E870A7"/>
    <w:rsid w:val="58EE7E94"/>
    <w:rsid w:val="591532EA"/>
    <w:rsid w:val="592270DA"/>
    <w:rsid w:val="592F42AD"/>
    <w:rsid w:val="597C152F"/>
    <w:rsid w:val="598E4F13"/>
    <w:rsid w:val="599F44E3"/>
    <w:rsid w:val="59A33B54"/>
    <w:rsid w:val="59AB2AD7"/>
    <w:rsid w:val="59C251E8"/>
    <w:rsid w:val="59D74320"/>
    <w:rsid w:val="59DA0941"/>
    <w:rsid w:val="59ED3BD9"/>
    <w:rsid w:val="5A106BAE"/>
    <w:rsid w:val="5A2002CB"/>
    <w:rsid w:val="5A2A06F6"/>
    <w:rsid w:val="5A2E43D3"/>
    <w:rsid w:val="5A340C4A"/>
    <w:rsid w:val="5A3B16C9"/>
    <w:rsid w:val="5A426669"/>
    <w:rsid w:val="5A4D57AE"/>
    <w:rsid w:val="5A5844E3"/>
    <w:rsid w:val="5A880C56"/>
    <w:rsid w:val="5A925FE9"/>
    <w:rsid w:val="5AAF6898"/>
    <w:rsid w:val="5AB02A29"/>
    <w:rsid w:val="5AB14B4E"/>
    <w:rsid w:val="5AB245AD"/>
    <w:rsid w:val="5ABF465C"/>
    <w:rsid w:val="5AC75F85"/>
    <w:rsid w:val="5AE601BB"/>
    <w:rsid w:val="5AF021DB"/>
    <w:rsid w:val="5AF34490"/>
    <w:rsid w:val="5B006186"/>
    <w:rsid w:val="5B017A46"/>
    <w:rsid w:val="5B07308F"/>
    <w:rsid w:val="5B1434BC"/>
    <w:rsid w:val="5B174882"/>
    <w:rsid w:val="5B1F3797"/>
    <w:rsid w:val="5B2031F2"/>
    <w:rsid w:val="5B2A3E31"/>
    <w:rsid w:val="5B446754"/>
    <w:rsid w:val="5B595F88"/>
    <w:rsid w:val="5B6A6366"/>
    <w:rsid w:val="5B7F5648"/>
    <w:rsid w:val="5B83542B"/>
    <w:rsid w:val="5BB6213A"/>
    <w:rsid w:val="5BD5791F"/>
    <w:rsid w:val="5BF00230"/>
    <w:rsid w:val="5C094BC6"/>
    <w:rsid w:val="5C13403C"/>
    <w:rsid w:val="5C21370D"/>
    <w:rsid w:val="5C263176"/>
    <w:rsid w:val="5C323311"/>
    <w:rsid w:val="5C3C32D1"/>
    <w:rsid w:val="5C4946A3"/>
    <w:rsid w:val="5C4B4000"/>
    <w:rsid w:val="5C6045D0"/>
    <w:rsid w:val="5C6C0BFC"/>
    <w:rsid w:val="5C7D4918"/>
    <w:rsid w:val="5C7D729E"/>
    <w:rsid w:val="5C921D2A"/>
    <w:rsid w:val="5C977DAF"/>
    <w:rsid w:val="5CA628C0"/>
    <w:rsid w:val="5CA71FDC"/>
    <w:rsid w:val="5CB34516"/>
    <w:rsid w:val="5CB727F8"/>
    <w:rsid w:val="5CBB6EC0"/>
    <w:rsid w:val="5CC12D02"/>
    <w:rsid w:val="5CDE112D"/>
    <w:rsid w:val="5CF06754"/>
    <w:rsid w:val="5D00356E"/>
    <w:rsid w:val="5D0B791C"/>
    <w:rsid w:val="5D15698A"/>
    <w:rsid w:val="5D166089"/>
    <w:rsid w:val="5D18209C"/>
    <w:rsid w:val="5D4D734B"/>
    <w:rsid w:val="5D500AA1"/>
    <w:rsid w:val="5D541E25"/>
    <w:rsid w:val="5D6346BC"/>
    <w:rsid w:val="5D7117A2"/>
    <w:rsid w:val="5D7D0F01"/>
    <w:rsid w:val="5D832588"/>
    <w:rsid w:val="5D857D50"/>
    <w:rsid w:val="5D8653AF"/>
    <w:rsid w:val="5D924491"/>
    <w:rsid w:val="5D9E113F"/>
    <w:rsid w:val="5DA31A46"/>
    <w:rsid w:val="5DBC507F"/>
    <w:rsid w:val="5DC924AE"/>
    <w:rsid w:val="5DCE19C4"/>
    <w:rsid w:val="5DD01F06"/>
    <w:rsid w:val="5DD41EFB"/>
    <w:rsid w:val="5DE43381"/>
    <w:rsid w:val="5E036640"/>
    <w:rsid w:val="5E063CE8"/>
    <w:rsid w:val="5E095F4C"/>
    <w:rsid w:val="5E407DAC"/>
    <w:rsid w:val="5E4668D4"/>
    <w:rsid w:val="5E4744C3"/>
    <w:rsid w:val="5E544FCD"/>
    <w:rsid w:val="5E763EC1"/>
    <w:rsid w:val="5E9538BA"/>
    <w:rsid w:val="5EA810B0"/>
    <w:rsid w:val="5EB04D8F"/>
    <w:rsid w:val="5EB1685B"/>
    <w:rsid w:val="5EC36F4F"/>
    <w:rsid w:val="5EE30D93"/>
    <w:rsid w:val="5EEB2F61"/>
    <w:rsid w:val="5EFD1A0A"/>
    <w:rsid w:val="5EFE5FFF"/>
    <w:rsid w:val="5F0F0CDC"/>
    <w:rsid w:val="5F446367"/>
    <w:rsid w:val="5F635B80"/>
    <w:rsid w:val="5F707C99"/>
    <w:rsid w:val="5F8E799C"/>
    <w:rsid w:val="5F94220B"/>
    <w:rsid w:val="5F954DD6"/>
    <w:rsid w:val="5FA37D16"/>
    <w:rsid w:val="5FA4414C"/>
    <w:rsid w:val="5FA90B87"/>
    <w:rsid w:val="5FBB579C"/>
    <w:rsid w:val="5FC70225"/>
    <w:rsid w:val="5FE14165"/>
    <w:rsid w:val="5FF354F3"/>
    <w:rsid w:val="600322C2"/>
    <w:rsid w:val="60122152"/>
    <w:rsid w:val="60174B30"/>
    <w:rsid w:val="601D0144"/>
    <w:rsid w:val="60377817"/>
    <w:rsid w:val="60397C31"/>
    <w:rsid w:val="60774A16"/>
    <w:rsid w:val="60812176"/>
    <w:rsid w:val="60832830"/>
    <w:rsid w:val="60B97192"/>
    <w:rsid w:val="60C90E08"/>
    <w:rsid w:val="60D40B24"/>
    <w:rsid w:val="60D8067C"/>
    <w:rsid w:val="60D93D3A"/>
    <w:rsid w:val="60ED6BE5"/>
    <w:rsid w:val="60EF33A7"/>
    <w:rsid w:val="60F919CD"/>
    <w:rsid w:val="60FA7C41"/>
    <w:rsid w:val="611D5368"/>
    <w:rsid w:val="611E4636"/>
    <w:rsid w:val="61211F71"/>
    <w:rsid w:val="61221F2C"/>
    <w:rsid w:val="613218A9"/>
    <w:rsid w:val="613355FB"/>
    <w:rsid w:val="6137687A"/>
    <w:rsid w:val="6138315A"/>
    <w:rsid w:val="61423C81"/>
    <w:rsid w:val="61442066"/>
    <w:rsid w:val="61602515"/>
    <w:rsid w:val="6160656D"/>
    <w:rsid w:val="61680370"/>
    <w:rsid w:val="616D70D5"/>
    <w:rsid w:val="616F21A8"/>
    <w:rsid w:val="6176450F"/>
    <w:rsid w:val="617A0A1C"/>
    <w:rsid w:val="617A50CB"/>
    <w:rsid w:val="61B2033D"/>
    <w:rsid w:val="61BF3E9B"/>
    <w:rsid w:val="61CF53F7"/>
    <w:rsid w:val="620A61E3"/>
    <w:rsid w:val="62117328"/>
    <w:rsid w:val="6216773D"/>
    <w:rsid w:val="621C28D2"/>
    <w:rsid w:val="62203B7A"/>
    <w:rsid w:val="623E6BE8"/>
    <w:rsid w:val="624E1C4A"/>
    <w:rsid w:val="624F3EAC"/>
    <w:rsid w:val="625B5004"/>
    <w:rsid w:val="62757A6E"/>
    <w:rsid w:val="627E2725"/>
    <w:rsid w:val="629E046C"/>
    <w:rsid w:val="62A026EB"/>
    <w:rsid w:val="62A83222"/>
    <w:rsid w:val="62AC1D2B"/>
    <w:rsid w:val="62B102FE"/>
    <w:rsid w:val="62C23031"/>
    <w:rsid w:val="62C437B5"/>
    <w:rsid w:val="62CA1726"/>
    <w:rsid w:val="62DA49BE"/>
    <w:rsid w:val="62EC0210"/>
    <w:rsid w:val="62F938F5"/>
    <w:rsid w:val="63110A08"/>
    <w:rsid w:val="631F71C8"/>
    <w:rsid w:val="63260BE9"/>
    <w:rsid w:val="633E6577"/>
    <w:rsid w:val="63443E3A"/>
    <w:rsid w:val="634F089C"/>
    <w:rsid w:val="63500B80"/>
    <w:rsid w:val="63762428"/>
    <w:rsid w:val="637B22FE"/>
    <w:rsid w:val="638A00DE"/>
    <w:rsid w:val="639536AB"/>
    <w:rsid w:val="639A75F5"/>
    <w:rsid w:val="63B0400C"/>
    <w:rsid w:val="63B64F84"/>
    <w:rsid w:val="63C418BF"/>
    <w:rsid w:val="63C6265A"/>
    <w:rsid w:val="63C73869"/>
    <w:rsid w:val="63D94AE5"/>
    <w:rsid w:val="63DC6FDD"/>
    <w:rsid w:val="63DF385B"/>
    <w:rsid w:val="63FC6ED8"/>
    <w:rsid w:val="6403594F"/>
    <w:rsid w:val="64082DCB"/>
    <w:rsid w:val="64153464"/>
    <w:rsid w:val="64185001"/>
    <w:rsid w:val="641B69B9"/>
    <w:rsid w:val="642577ED"/>
    <w:rsid w:val="642E099A"/>
    <w:rsid w:val="643C048B"/>
    <w:rsid w:val="643C42F2"/>
    <w:rsid w:val="644A29D1"/>
    <w:rsid w:val="646C11AE"/>
    <w:rsid w:val="64753DF3"/>
    <w:rsid w:val="64825440"/>
    <w:rsid w:val="648662BC"/>
    <w:rsid w:val="64A206A3"/>
    <w:rsid w:val="64BA73A2"/>
    <w:rsid w:val="64C3535C"/>
    <w:rsid w:val="64CB7D19"/>
    <w:rsid w:val="64DA586F"/>
    <w:rsid w:val="64DE0610"/>
    <w:rsid w:val="64E023C6"/>
    <w:rsid w:val="64E87A49"/>
    <w:rsid w:val="64F22897"/>
    <w:rsid w:val="64F617D4"/>
    <w:rsid w:val="64F84F36"/>
    <w:rsid w:val="65232947"/>
    <w:rsid w:val="652A77E0"/>
    <w:rsid w:val="654D2407"/>
    <w:rsid w:val="65566AA9"/>
    <w:rsid w:val="657D06EC"/>
    <w:rsid w:val="65802817"/>
    <w:rsid w:val="65AC1F12"/>
    <w:rsid w:val="65AC430D"/>
    <w:rsid w:val="65D40949"/>
    <w:rsid w:val="660C2041"/>
    <w:rsid w:val="66164B80"/>
    <w:rsid w:val="66226318"/>
    <w:rsid w:val="664F017B"/>
    <w:rsid w:val="666052FE"/>
    <w:rsid w:val="66613EF2"/>
    <w:rsid w:val="666D0AC2"/>
    <w:rsid w:val="667777AF"/>
    <w:rsid w:val="668A4D12"/>
    <w:rsid w:val="66981562"/>
    <w:rsid w:val="669A31E7"/>
    <w:rsid w:val="66AB74AA"/>
    <w:rsid w:val="66B4035C"/>
    <w:rsid w:val="66B70833"/>
    <w:rsid w:val="66BA1DB0"/>
    <w:rsid w:val="66C36DE4"/>
    <w:rsid w:val="66CA6940"/>
    <w:rsid w:val="66D9180B"/>
    <w:rsid w:val="66DC7A6C"/>
    <w:rsid w:val="66E04A0A"/>
    <w:rsid w:val="66E21B0B"/>
    <w:rsid w:val="67145CCE"/>
    <w:rsid w:val="67225BC4"/>
    <w:rsid w:val="672641DA"/>
    <w:rsid w:val="67283075"/>
    <w:rsid w:val="672951A4"/>
    <w:rsid w:val="672A7013"/>
    <w:rsid w:val="67484AEE"/>
    <w:rsid w:val="67612C3E"/>
    <w:rsid w:val="677B03E3"/>
    <w:rsid w:val="679054F4"/>
    <w:rsid w:val="67A87966"/>
    <w:rsid w:val="67AA431B"/>
    <w:rsid w:val="67E15F58"/>
    <w:rsid w:val="67F302E1"/>
    <w:rsid w:val="67F74A74"/>
    <w:rsid w:val="67FA482A"/>
    <w:rsid w:val="67FE0C0E"/>
    <w:rsid w:val="6806539C"/>
    <w:rsid w:val="681D27DB"/>
    <w:rsid w:val="68246C69"/>
    <w:rsid w:val="682670E6"/>
    <w:rsid w:val="68274063"/>
    <w:rsid w:val="682A793C"/>
    <w:rsid w:val="68327B68"/>
    <w:rsid w:val="68467701"/>
    <w:rsid w:val="684C5A9A"/>
    <w:rsid w:val="68501C17"/>
    <w:rsid w:val="6850270C"/>
    <w:rsid w:val="685A2FF4"/>
    <w:rsid w:val="68603CE6"/>
    <w:rsid w:val="68734E71"/>
    <w:rsid w:val="68777C0F"/>
    <w:rsid w:val="687C3660"/>
    <w:rsid w:val="688678E9"/>
    <w:rsid w:val="688C4797"/>
    <w:rsid w:val="68942DB9"/>
    <w:rsid w:val="689C08B0"/>
    <w:rsid w:val="689D6E23"/>
    <w:rsid w:val="68A05112"/>
    <w:rsid w:val="68A873C0"/>
    <w:rsid w:val="68AD4C21"/>
    <w:rsid w:val="68B011E4"/>
    <w:rsid w:val="68B272C5"/>
    <w:rsid w:val="68B935BB"/>
    <w:rsid w:val="68C4087A"/>
    <w:rsid w:val="68C51CAC"/>
    <w:rsid w:val="68CA1187"/>
    <w:rsid w:val="68CC5602"/>
    <w:rsid w:val="68D1032C"/>
    <w:rsid w:val="68D10D26"/>
    <w:rsid w:val="68D20A18"/>
    <w:rsid w:val="68F474AC"/>
    <w:rsid w:val="68FC1A81"/>
    <w:rsid w:val="690253B2"/>
    <w:rsid w:val="69166587"/>
    <w:rsid w:val="69254A25"/>
    <w:rsid w:val="692642CD"/>
    <w:rsid w:val="69277D64"/>
    <w:rsid w:val="69391E13"/>
    <w:rsid w:val="693F6EFE"/>
    <w:rsid w:val="69470AC0"/>
    <w:rsid w:val="695A2D43"/>
    <w:rsid w:val="69646F96"/>
    <w:rsid w:val="69684D14"/>
    <w:rsid w:val="697B27A2"/>
    <w:rsid w:val="699633AD"/>
    <w:rsid w:val="69A80501"/>
    <w:rsid w:val="69B31977"/>
    <w:rsid w:val="69C613D1"/>
    <w:rsid w:val="69C90FC7"/>
    <w:rsid w:val="69DB4D1F"/>
    <w:rsid w:val="69DF7960"/>
    <w:rsid w:val="69E26367"/>
    <w:rsid w:val="69E31D6F"/>
    <w:rsid w:val="69EC3793"/>
    <w:rsid w:val="69FB050A"/>
    <w:rsid w:val="69FE196D"/>
    <w:rsid w:val="69FF5165"/>
    <w:rsid w:val="6A0D33A0"/>
    <w:rsid w:val="6A0F3BD3"/>
    <w:rsid w:val="6A1A6A30"/>
    <w:rsid w:val="6A1D0532"/>
    <w:rsid w:val="6A1F45B9"/>
    <w:rsid w:val="6A262EAD"/>
    <w:rsid w:val="6A3454B6"/>
    <w:rsid w:val="6A3B3DEC"/>
    <w:rsid w:val="6A4C5B02"/>
    <w:rsid w:val="6A4C703A"/>
    <w:rsid w:val="6A4E7348"/>
    <w:rsid w:val="6A5D5CE5"/>
    <w:rsid w:val="6A7F39BD"/>
    <w:rsid w:val="6A9179F2"/>
    <w:rsid w:val="6AB750B2"/>
    <w:rsid w:val="6AC92C96"/>
    <w:rsid w:val="6ADF6D8A"/>
    <w:rsid w:val="6AE71602"/>
    <w:rsid w:val="6AEA7256"/>
    <w:rsid w:val="6B190D00"/>
    <w:rsid w:val="6B1920C2"/>
    <w:rsid w:val="6B2103B8"/>
    <w:rsid w:val="6B233057"/>
    <w:rsid w:val="6B2E291F"/>
    <w:rsid w:val="6B3212B5"/>
    <w:rsid w:val="6B361A79"/>
    <w:rsid w:val="6B3A51CA"/>
    <w:rsid w:val="6B3E764A"/>
    <w:rsid w:val="6B405921"/>
    <w:rsid w:val="6B4566CB"/>
    <w:rsid w:val="6B602FCE"/>
    <w:rsid w:val="6B7770E1"/>
    <w:rsid w:val="6B9A0D32"/>
    <w:rsid w:val="6BA211C1"/>
    <w:rsid w:val="6BAC0E5F"/>
    <w:rsid w:val="6BBF43C9"/>
    <w:rsid w:val="6BCA3108"/>
    <w:rsid w:val="6BD32F9C"/>
    <w:rsid w:val="6BD43D70"/>
    <w:rsid w:val="6BEB5B48"/>
    <w:rsid w:val="6BF01E9B"/>
    <w:rsid w:val="6BF86620"/>
    <w:rsid w:val="6C00194F"/>
    <w:rsid w:val="6C072524"/>
    <w:rsid w:val="6C0F0F1C"/>
    <w:rsid w:val="6C141F41"/>
    <w:rsid w:val="6C164B5F"/>
    <w:rsid w:val="6C303294"/>
    <w:rsid w:val="6C3215BA"/>
    <w:rsid w:val="6C35572E"/>
    <w:rsid w:val="6C3B0429"/>
    <w:rsid w:val="6C442B87"/>
    <w:rsid w:val="6C4C25CF"/>
    <w:rsid w:val="6CB7036F"/>
    <w:rsid w:val="6CC91943"/>
    <w:rsid w:val="6CDB18CA"/>
    <w:rsid w:val="6CF244A1"/>
    <w:rsid w:val="6CF8236C"/>
    <w:rsid w:val="6D044526"/>
    <w:rsid w:val="6D0A14DA"/>
    <w:rsid w:val="6D0E3E11"/>
    <w:rsid w:val="6D322BE5"/>
    <w:rsid w:val="6D3A2F8D"/>
    <w:rsid w:val="6D4047D9"/>
    <w:rsid w:val="6D55096F"/>
    <w:rsid w:val="6D56434A"/>
    <w:rsid w:val="6D5A2507"/>
    <w:rsid w:val="6D5E3698"/>
    <w:rsid w:val="6D600A7A"/>
    <w:rsid w:val="6D652D5B"/>
    <w:rsid w:val="6D6D003E"/>
    <w:rsid w:val="6D785779"/>
    <w:rsid w:val="6D7F31E6"/>
    <w:rsid w:val="6D824846"/>
    <w:rsid w:val="6D96614E"/>
    <w:rsid w:val="6D9C01FD"/>
    <w:rsid w:val="6DA106D9"/>
    <w:rsid w:val="6DAC05AA"/>
    <w:rsid w:val="6DD2051F"/>
    <w:rsid w:val="6DD30B68"/>
    <w:rsid w:val="6DD41457"/>
    <w:rsid w:val="6DDD4D00"/>
    <w:rsid w:val="6DEC3294"/>
    <w:rsid w:val="6E051A9C"/>
    <w:rsid w:val="6E120A1C"/>
    <w:rsid w:val="6E177851"/>
    <w:rsid w:val="6E1A32F5"/>
    <w:rsid w:val="6E3D7E8F"/>
    <w:rsid w:val="6E46110C"/>
    <w:rsid w:val="6E4B7AAD"/>
    <w:rsid w:val="6E597E70"/>
    <w:rsid w:val="6E675122"/>
    <w:rsid w:val="6E724B4D"/>
    <w:rsid w:val="6E75418E"/>
    <w:rsid w:val="6E842AB7"/>
    <w:rsid w:val="6E9C647B"/>
    <w:rsid w:val="6EAB29F0"/>
    <w:rsid w:val="6EB05CF3"/>
    <w:rsid w:val="6ECA0884"/>
    <w:rsid w:val="6EEF279A"/>
    <w:rsid w:val="6F020A4A"/>
    <w:rsid w:val="6F0975E8"/>
    <w:rsid w:val="6F1B03B2"/>
    <w:rsid w:val="6F3620AC"/>
    <w:rsid w:val="6F362B69"/>
    <w:rsid w:val="6F73041D"/>
    <w:rsid w:val="6F933931"/>
    <w:rsid w:val="6F9812ED"/>
    <w:rsid w:val="6F983CEF"/>
    <w:rsid w:val="6FB10DAD"/>
    <w:rsid w:val="6FB94763"/>
    <w:rsid w:val="6FC85314"/>
    <w:rsid w:val="6FD168EF"/>
    <w:rsid w:val="6FD246C0"/>
    <w:rsid w:val="6FE65FD9"/>
    <w:rsid w:val="70111CA8"/>
    <w:rsid w:val="70344406"/>
    <w:rsid w:val="70351C4B"/>
    <w:rsid w:val="703B5E91"/>
    <w:rsid w:val="70426D48"/>
    <w:rsid w:val="70540BCD"/>
    <w:rsid w:val="705529CD"/>
    <w:rsid w:val="70576330"/>
    <w:rsid w:val="705800AB"/>
    <w:rsid w:val="70850EC2"/>
    <w:rsid w:val="708B75D5"/>
    <w:rsid w:val="70945F54"/>
    <w:rsid w:val="70AC3C0A"/>
    <w:rsid w:val="70B01F20"/>
    <w:rsid w:val="70B71605"/>
    <w:rsid w:val="70B72C25"/>
    <w:rsid w:val="70B81742"/>
    <w:rsid w:val="70C00A47"/>
    <w:rsid w:val="70C2434D"/>
    <w:rsid w:val="70E51FCC"/>
    <w:rsid w:val="70E53614"/>
    <w:rsid w:val="70E67BA2"/>
    <w:rsid w:val="710A7022"/>
    <w:rsid w:val="713D3733"/>
    <w:rsid w:val="71527A1A"/>
    <w:rsid w:val="71835874"/>
    <w:rsid w:val="71872601"/>
    <w:rsid w:val="71A24AB1"/>
    <w:rsid w:val="71C90417"/>
    <w:rsid w:val="71CA775A"/>
    <w:rsid w:val="71E606D8"/>
    <w:rsid w:val="71F55644"/>
    <w:rsid w:val="71F86763"/>
    <w:rsid w:val="720A0387"/>
    <w:rsid w:val="722107A4"/>
    <w:rsid w:val="722E7736"/>
    <w:rsid w:val="72313ADC"/>
    <w:rsid w:val="7233248A"/>
    <w:rsid w:val="723A566D"/>
    <w:rsid w:val="72406802"/>
    <w:rsid w:val="724D146A"/>
    <w:rsid w:val="725E01E8"/>
    <w:rsid w:val="72746455"/>
    <w:rsid w:val="727B501A"/>
    <w:rsid w:val="72887E09"/>
    <w:rsid w:val="728B5E38"/>
    <w:rsid w:val="728D59C1"/>
    <w:rsid w:val="729543D5"/>
    <w:rsid w:val="729B5077"/>
    <w:rsid w:val="72A36C61"/>
    <w:rsid w:val="72A82C82"/>
    <w:rsid w:val="72B20C8D"/>
    <w:rsid w:val="72B22B7E"/>
    <w:rsid w:val="72B64A5B"/>
    <w:rsid w:val="72B93F55"/>
    <w:rsid w:val="72CE11F1"/>
    <w:rsid w:val="73212193"/>
    <w:rsid w:val="73305A57"/>
    <w:rsid w:val="73453D3B"/>
    <w:rsid w:val="73497197"/>
    <w:rsid w:val="734A6AFD"/>
    <w:rsid w:val="735D63B8"/>
    <w:rsid w:val="73750C13"/>
    <w:rsid w:val="73892A58"/>
    <w:rsid w:val="739869F9"/>
    <w:rsid w:val="73AE1197"/>
    <w:rsid w:val="73AE5FFF"/>
    <w:rsid w:val="73B97B13"/>
    <w:rsid w:val="740516D2"/>
    <w:rsid w:val="74054ADD"/>
    <w:rsid w:val="74221A03"/>
    <w:rsid w:val="742505BE"/>
    <w:rsid w:val="742C2703"/>
    <w:rsid w:val="744173D3"/>
    <w:rsid w:val="74445DBE"/>
    <w:rsid w:val="74511CB0"/>
    <w:rsid w:val="74803788"/>
    <w:rsid w:val="749670A6"/>
    <w:rsid w:val="74A21097"/>
    <w:rsid w:val="74B40026"/>
    <w:rsid w:val="74B51ACC"/>
    <w:rsid w:val="74B93520"/>
    <w:rsid w:val="74B941BE"/>
    <w:rsid w:val="74C376C3"/>
    <w:rsid w:val="74C6048C"/>
    <w:rsid w:val="74CD5EE9"/>
    <w:rsid w:val="74D73B06"/>
    <w:rsid w:val="74DB4634"/>
    <w:rsid w:val="74ED7091"/>
    <w:rsid w:val="751545CB"/>
    <w:rsid w:val="75436E70"/>
    <w:rsid w:val="754C4364"/>
    <w:rsid w:val="754D6478"/>
    <w:rsid w:val="75592A96"/>
    <w:rsid w:val="75786543"/>
    <w:rsid w:val="757C3486"/>
    <w:rsid w:val="7584048F"/>
    <w:rsid w:val="75870060"/>
    <w:rsid w:val="758A5637"/>
    <w:rsid w:val="75903A0D"/>
    <w:rsid w:val="75A87092"/>
    <w:rsid w:val="75B605C2"/>
    <w:rsid w:val="75B95594"/>
    <w:rsid w:val="75CB52A8"/>
    <w:rsid w:val="75DF0460"/>
    <w:rsid w:val="75E75613"/>
    <w:rsid w:val="75F33D14"/>
    <w:rsid w:val="76196715"/>
    <w:rsid w:val="761C0E8C"/>
    <w:rsid w:val="764275E0"/>
    <w:rsid w:val="764C3073"/>
    <w:rsid w:val="765B24F6"/>
    <w:rsid w:val="76625C65"/>
    <w:rsid w:val="766418C6"/>
    <w:rsid w:val="767A6C44"/>
    <w:rsid w:val="769F6E9B"/>
    <w:rsid w:val="76B17E3F"/>
    <w:rsid w:val="76B732F6"/>
    <w:rsid w:val="76D75C5E"/>
    <w:rsid w:val="76FC0F38"/>
    <w:rsid w:val="76FE1A6A"/>
    <w:rsid w:val="77083D38"/>
    <w:rsid w:val="770B4916"/>
    <w:rsid w:val="771E4247"/>
    <w:rsid w:val="77302F98"/>
    <w:rsid w:val="773045BE"/>
    <w:rsid w:val="773237BA"/>
    <w:rsid w:val="77340571"/>
    <w:rsid w:val="77342B51"/>
    <w:rsid w:val="773F3F61"/>
    <w:rsid w:val="775964AB"/>
    <w:rsid w:val="776C08A7"/>
    <w:rsid w:val="77727E6A"/>
    <w:rsid w:val="777348CE"/>
    <w:rsid w:val="777F3389"/>
    <w:rsid w:val="778C3F1C"/>
    <w:rsid w:val="779656BC"/>
    <w:rsid w:val="779E2310"/>
    <w:rsid w:val="77A4372A"/>
    <w:rsid w:val="77A46454"/>
    <w:rsid w:val="77AC0E9F"/>
    <w:rsid w:val="77D766AB"/>
    <w:rsid w:val="77E84235"/>
    <w:rsid w:val="77F27AFF"/>
    <w:rsid w:val="78313CDA"/>
    <w:rsid w:val="784A3EF5"/>
    <w:rsid w:val="784C24C1"/>
    <w:rsid w:val="784D42B3"/>
    <w:rsid w:val="78536ADD"/>
    <w:rsid w:val="78550801"/>
    <w:rsid w:val="78582070"/>
    <w:rsid w:val="78744D50"/>
    <w:rsid w:val="78747403"/>
    <w:rsid w:val="78813096"/>
    <w:rsid w:val="788D6905"/>
    <w:rsid w:val="78915C61"/>
    <w:rsid w:val="78A27734"/>
    <w:rsid w:val="78B22D00"/>
    <w:rsid w:val="78BB1895"/>
    <w:rsid w:val="78CA0A97"/>
    <w:rsid w:val="78D9086D"/>
    <w:rsid w:val="78EB655B"/>
    <w:rsid w:val="78F933BB"/>
    <w:rsid w:val="790D553D"/>
    <w:rsid w:val="7911714D"/>
    <w:rsid w:val="791F54FE"/>
    <w:rsid w:val="79540F9D"/>
    <w:rsid w:val="79610CC6"/>
    <w:rsid w:val="796E2E24"/>
    <w:rsid w:val="797B3D2B"/>
    <w:rsid w:val="79833ADA"/>
    <w:rsid w:val="798A5CED"/>
    <w:rsid w:val="799A61E7"/>
    <w:rsid w:val="79A07CA5"/>
    <w:rsid w:val="79A904B7"/>
    <w:rsid w:val="79BA0C77"/>
    <w:rsid w:val="79C813D6"/>
    <w:rsid w:val="79CB4A2D"/>
    <w:rsid w:val="79DA0900"/>
    <w:rsid w:val="79F10BCF"/>
    <w:rsid w:val="7A016027"/>
    <w:rsid w:val="7A1D37C3"/>
    <w:rsid w:val="7A1F246D"/>
    <w:rsid w:val="7A282400"/>
    <w:rsid w:val="7A3412FC"/>
    <w:rsid w:val="7A3B042A"/>
    <w:rsid w:val="7A444692"/>
    <w:rsid w:val="7A472D6D"/>
    <w:rsid w:val="7A50421D"/>
    <w:rsid w:val="7A547E8B"/>
    <w:rsid w:val="7A5C73EF"/>
    <w:rsid w:val="7A8C635A"/>
    <w:rsid w:val="7A9F77DA"/>
    <w:rsid w:val="7AA634EB"/>
    <w:rsid w:val="7AA66EC8"/>
    <w:rsid w:val="7AB514DB"/>
    <w:rsid w:val="7ACF06B8"/>
    <w:rsid w:val="7ADF6058"/>
    <w:rsid w:val="7AE35725"/>
    <w:rsid w:val="7AE7567B"/>
    <w:rsid w:val="7B0A5EBA"/>
    <w:rsid w:val="7B2069FD"/>
    <w:rsid w:val="7B224AEF"/>
    <w:rsid w:val="7B2F5E32"/>
    <w:rsid w:val="7B480DA8"/>
    <w:rsid w:val="7B5525F8"/>
    <w:rsid w:val="7B5B24E5"/>
    <w:rsid w:val="7B670EFC"/>
    <w:rsid w:val="7B90299A"/>
    <w:rsid w:val="7B9030AE"/>
    <w:rsid w:val="7B951265"/>
    <w:rsid w:val="7B977ECF"/>
    <w:rsid w:val="7BB60613"/>
    <w:rsid w:val="7BBA0E99"/>
    <w:rsid w:val="7BBA2037"/>
    <w:rsid w:val="7BE21C59"/>
    <w:rsid w:val="7BEB5709"/>
    <w:rsid w:val="7BEF7D9E"/>
    <w:rsid w:val="7BF76D24"/>
    <w:rsid w:val="7BFE6302"/>
    <w:rsid w:val="7C032A5A"/>
    <w:rsid w:val="7C053D52"/>
    <w:rsid w:val="7C0710CB"/>
    <w:rsid w:val="7C15166F"/>
    <w:rsid w:val="7C2410D6"/>
    <w:rsid w:val="7C2725B1"/>
    <w:rsid w:val="7C686FD9"/>
    <w:rsid w:val="7C760E64"/>
    <w:rsid w:val="7C786D76"/>
    <w:rsid w:val="7C8235E1"/>
    <w:rsid w:val="7C8852D5"/>
    <w:rsid w:val="7C896654"/>
    <w:rsid w:val="7C925389"/>
    <w:rsid w:val="7C995D8A"/>
    <w:rsid w:val="7C9B59A8"/>
    <w:rsid w:val="7CAF2C37"/>
    <w:rsid w:val="7CBE74DB"/>
    <w:rsid w:val="7CD300C5"/>
    <w:rsid w:val="7CD861F3"/>
    <w:rsid w:val="7CE42B5B"/>
    <w:rsid w:val="7CE70B72"/>
    <w:rsid w:val="7CEC3864"/>
    <w:rsid w:val="7CF447A7"/>
    <w:rsid w:val="7D1A42D3"/>
    <w:rsid w:val="7D227C5C"/>
    <w:rsid w:val="7D2555AB"/>
    <w:rsid w:val="7D666E5F"/>
    <w:rsid w:val="7D673119"/>
    <w:rsid w:val="7D6D7294"/>
    <w:rsid w:val="7D7C605E"/>
    <w:rsid w:val="7D831EB5"/>
    <w:rsid w:val="7D9B09ED"/>
    <w:rsid w:val="7DB509E2"/>
    <w:rsid w:val="7DC149FC"/>
    <w:rsid w:val="7DC25492"/>
    <w:rsid w:val="7DC320EE"/>
    <w:rsid w:val="7DC73D48"/>
    <w:rsid w:val="7DD31E34"/>
    <w:rsid w:val="7DD41C62"/>
    <w:rsid w:val="7DDF32C1"/>
    <w:rsid w:val="7DE346FB"/>
    <w:rsid w:val="7DF97C1A"/>
    <w:rsid w:val="7E0D3CBF"/>
    <w:rsid w:val="7E0E014B"/>
    <w:rsid w:val="7E131EBC"/>
    <w:rsid w:val="7E374855"/>
    <w:rsid w:val="7E45070D"/>
    <w:rsid w:val="7E49057E"/>
    <w:rsid w:val="7E595560"/>
    <w:rsid w:val="7E5A3EEA"/>
    <w:rsid w:val="7E5D217A"/>
    <w:rsid w:val="7E876DB7"/>
    <w:rsid w:val="7E9466AE"/>
    <w:rsid w:val="7EA13A31"/>
    <w:rsid w:val="7EC268E3"/>
    <w:rsid w:val="7ED65ACB"/>
    <w:rsid w:val="7EDB18AE"/>
    <w:rsid w:val="7EEF09CE"/>
    <w:rsid w:val="7EF07197"/>
    <w:rsid w:val="7EF91DEC"/>
    <w:rsid w:val="7EFC1C9B"/>
    <w:rsid w:val="7F026CBB"/>
    <w:rsid w:val="7F03254B"/>
    <w:rsid w:val="7F0E591C"/>
    <w:rsid w:val="7F1A59EA"/>
    <w:rsid w:val="7F1B62F6"/>
    <w:rsid w:val="7F1F144A"/>
    <w:rsid w:val="7F2F04C2"/>
    <w:rsid w:val="7F2F0F39"/>
    <w:rsid w:val="7F3B51D0"/>
    <w:rsid w:val="7F3F2127"/>
    <w:rsid w:val="7F4C4F75"/>
    <w:rsid w:val="7F5F0D72"/>
    <w:rsid w:val="7F5F4403"/>
    <w:rsid w:val="7F700CCF"/>
    <w:rsid w:val="7F7B16E1"/>
    <w:rsid w:val="7F8B53B2"/>
    <w:rsid w:val="7F8E1287"/>
    <w:rsid w:val="7F9A5CAB"/>
    <w:rsid w:val="7FA801E0"/>
    <w:rsid w:val="7FB54037"/>
    <w:rsid w:val="7FCB1D95"/>
    <w:rsid w:val="7FEC76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rPr>
      <w:i/>
    </w:rPr>
  </w:style>
  <w:style w:type="character" w:styleId="10">
    <w:name w:val="Hyperlink"/>
    <w:basedOn w:val="6"/>
    <w:qFormat/>
    <w:uiPriority w:val="0"/>
    <w:rPr>
      <w:color w:val="333333"/>
      <w:u w:val="none"/>
    </w:rPr>
  </w:style>
  <w:style w:type="character" w:customStyle="1" w:styleId="11">
    <w:name w:val="纯文本 Char"/>
    <w:basedOn w:val="6"/>
    <w:link w:val="12"/>
    <w:semiHidden/>
    <w:qFormat/>
    <w:uiPriority w:val="0"/>
    <w:rPr>
      <w:rFonts w:ascii="宋体" w:hAnsi="Courier New" w:eastAsia="宋体" w:cs="Courier New"/>
      <w:sz w:val="21"/>
      <w:szCs w:val="21"/>
    </w:rPr>
  </w:style>
  <w:style w:type="paragraph" w:customStyle="1" w:styleId="12">
    <w:name w:val="Plain Text"/>
    <w:basedOn w:val="1"/>
    <w:link w:val="11"/>
    <w:qFormat/>
    <w:uiPriority w:val="0"/>
    <w:rPr>
      <w:rFonts w:ascii="宋体" w:hAnsi="Courier New" w:eastAsia="宋体" w:cs="Courier New"/>
      <w:sz w:val="21"/>
      <w:szCs w:val="21"/>
    </w:rPr>
  </w:style>
  <w:style w:type="paragraph" w:customStyle="1" w:styleId="13">
    <w:name w:val="批注框文本1"/>
    <w:basedOn w:val="1"/>
    <w:link w:val="14"/>
    <w:qFormat/>
    <w:uiPriority w:val="0"/>
    <w:rPr>
      <w:rFonts w:ascii="Heiti SC Light" w:hAnsi="Times New Roman" w:eastAsia="Heiti SC Light" w:cs="Times New Roman"/>
      <w:sz w:val="18"/>
      <w:szCs w:val="18"/>
    </w:rPr>
  </w:style>
  <w:style w:type="character" w:customStyle="1" w:styleId="14">
    <w:name w:val="批注框文本 Char"/>
    <w:basedOn w:val="6"/>
    <w:link w:val="13"/>
    <w:semiHidden/>
    <w:qFormat/>
    <w:uiPriority w:val="0"/>
    <w:rPr>
      <w:rFonts w:ascii="Heiti SC Light" w:hAnsi="Times New Roman" w:eastAsia="Heiti SC Light" w:cs="Times New Roman"/>
      <w:sz w:val="18"/>
      <w:szCs w:val="18"/>
    </w:rPr>
  </w:style>
  <w:style w:type="paragraph" w:customStyle="1" w:styleId="15">
    <w:name w:val="Normal"/>
    <w:basedOn w:val="1"/>
    <w:qFormat/>
    <w:uiPriority w:val="0"/>
    <w:pPr>
      <w:widowControl/>
    </w:pPr>
    <w:rPr>
      <w:rFonts w:ascii="仿宋_GB2312" w:hAnsi="宋体" w:eastAsia="仿宋_GB2312" w:cs="宋体"/>
      <w:szCs w:val="21"/>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 w:type="character" w:customStyle="1" w:styleId="19">
    <w:name w:val="cur"/>
    <w:basedOn w:val="6"/>
    <w:qFormat/>
    <w:uiPriority w:val="0"/>
    <w:rPr>
      <w:color w:val="FFFFFF"/>
      <w:bdr w:val="single" w:color="CC0000" w:sz="6" w:space="0"/>
      <w:shd w:val="clear" w:fill="CC0000"/>
    </w:rPr>
  </w:style>
  <w:style w:type="character" w:customStyle="1" w:styleId="20">
    <w:name w:val="no"/>
    <w:basedOn w:val="6"/>
    <w:qFormat/>
    <w:uiPriority w:val="0"/>
    <w:rPr>
      <w:color w:val="999999"/>
      <w:bdr w:val="single" w:color="CCCCCC" w:sz="6" w:space="0"/>
    </w:rPr>
  </w:style>
  <w:style w:type="character" w:customStyle="1" w:styleId="21">
    <w:name w:val="no1"/>
    <w:basedOn w:val="6"/>
    <w:qFormat/>
    <w:uiPriority w:val="0"/>
    <w:rPr>
      <w:color w:val="999999"/>
      <w:bdr w:val="single" w:color="CCCCCC" w:sz="6" w:space="0"/>
    </w:rPr>
  </w:style>
  <w:style w:type="character" w:customStyle="1" w:styleId="22">
    <w:name w:val="cur1"/>
    <w:basedOn w:val="6"/>
    <w:qFormat/>
    <w:uiPriority w:val="0"/>
    <w:rPr>
      <w:color w:val="FFFFFF"/>
      <w:bdr w:val="single" w:color="CC0000" w:sz="6" w:space="0"/>
      <w:shd w:val="clear" w:fill="CC0000"/>
    </w:rPr>
  </w:style>
  <w:style w:type="character" w:customStyle="1" w:styleId="23">
    <w:name w:val="font51"/>
    <w:basedOn w:val="6"/>
    <w:qFormat/>
    <w:uiPriority w:val="0"/>
    <w:rPr>
      <w:rFonts w:hint="default" w:ascii="楷体_GB2312" w:eastAsia="楷体_GB2312" w:cs="楷体_GB2312"/>
      <w:b/>
      <w:color w:val="000000"/>
      <w:sz w:val="28"/>
      <w:szCs w:val="28"/>
      <w:u w:val="none"/>
    </w:rPr>
  </w:style>
  <w:style w:type="character" w:customStyle="1" w:styleId="24">
    <w:name w:val="font11"/>
    <w:basedOn w:val="6"/>
    <w:qFormat/>
    <w:uiPriority w:val="0"/>
    <w:rPr>
      <w:rFonts w:hint="default"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2.e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600 万元 省妇联</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0535513579750157"/>
                  <c:y val="-0.017510789608910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20万元  武威市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82537025538495"/>
                  <c:y val="-0.02391895643336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30万元白银市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1969688591355"/>
                  <c:y val="-0.046157101347539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30万元  庆阳市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55075320164567"/>
                  <c:y val="-0.039459961529482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40万元  平凉市</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89875"/>
                      <c:h val="0.0523278949462793"/>
                    </c:manualLayout>
                  </c15:layout>
                </c:ext>
              </c:extLst>
            </c:dLbl>
            <c:dLbl>
              <c:idx val="5"/>
              <c:layout>
                <c:manualLayout>
                  <c:x val="-0.0193591849073775"/>
                  <c:y val="-0.008953333842992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60万元定西市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90536687189873"/>
                  <c:y val="-0.01547316312842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50万元天水市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344934317362942"/>
                  <c:y val="1.85106819340692e-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100万元陇南市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313777997993412"/>
                  <c:y val="0.01446217761846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50万元临夏州</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623460208643644"/>
                  <c:y val="-0.0026245989360806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20万元甘南州</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省妇联</c:v>
                </c:pt>
                <c:pt idx="1">
                  <c:v>武威市</c:v>
                </c:pt>
                <c:pt idx="2">
                  <c:v>白银市</c:v>
                </c:pt>
                <c:pt idx="3">
                  <c:v>庆阳市</c:v>
                </c:pt>
                <c:pt idx="4">
                  <c:v>平凉市</c:v>
                </c:pt>
                <c:pt idx="5">
                  <c:v>定西市</c:v>
                </c:pt>
                <c:pt idx="6">
                  <c:v>天水市</c:v>
                </c:pt>
                <c:pt idx="7">
                  <c:v>陇南市</c:v>
                </c:pt>
                <c:pt idx="8">
                  <c:v>临夏州</c:v>
                </c:pt>
                <c:pt idx="9">
                  <c:v>甘南州</c:v>
                </c:pt>
              </c:strCache>
            </c:strRef>
          </c:cat>
          <c:val>
            <c:numRef>
              <c:f>Sheet1!$B$2:$B$11</c:f>
              <c:numCache>
                <c:formatCode>General</c:formatCode>
                <c:ptCount val="10"/>
                <c:pt idx="0">
                  <c:v>600</c:v>
                </c:pt>
                <c:pt idx="1">
                  <c:v>20</c:v>
                </c:pt>
                <c:pt idx="2">
                  <c:v>30</c:v>
                </c:pt>
                <c:pt idx="3">
                  <c:v>30</c:v>
                </c:pt>
                <c:pt idx="4">
                  <c:v>40</c:v>
                </c:pt>
                <c:pt idx="5">
                  <c:v>60</c:v>
                </c:pt>
                <c:pt idx="6">
                  <c:v>50</c:v>
                </c:pt>
                <c:pt idx="7">
                  <c:v>100</c:v>
                </c:pt>
                <c:pt idx="8">
                  <c:v>50</c:v>
                </c:pt>
                <c:pt idx="9">
                  <c:v>20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1086</Words>
  <Characters>6192</Characters>
  <Lines>51</Lines>
  <Paragraphs>14</Paragraphs>
  <TotalTime>28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2017-03-15T12:39:00Z</dcterms:created>
  <dc:creator>Fan</dc:creator>
  <cp:lastModifiedBy>海涛</cp:lastModifiedBy>
  <cp:lastPrinted>2020-06-16T03:44:00Z</cp:lastPrinted>
  <dcterms:modified xsi:type="dcterms:W3CDTF">2020-06-17T11:06:16Z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